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AF4D" w14:textId="254AC7C5" w:rsidR="0096468A" w:rsidRDefault="0096468A" w:rsidP="0096468A">
      <w:pPr>
        <w:rPr>
          <w:rFonts w:ascii="Tahoma" w:hAnsi="Tahoma" w:cs="Tahoma"/>
          <w:b/>
          <w:bCs/>
          <w:sz w:val="23"/>
          <w:szCs w:val="23"/>
        </w:rPr>
      </w:pPr>
      <w:r w:rsidRPr="0096468A">
        <w:rPr>
          <w:rFonts w:ascii="Tahoma" w:hAnsi="Tahoma" w:cs="Tahoma"/>
          <w:b/>
          <w:bCs/>
          <w:sz w:val="23"/>
          <w:szCs w:val="23"/>
        </w:rPr>
        <w:t>Review of post-16</w:t>
      </w:r>
      <w:r>
        <w:rPr>
          <w:rFonts w:ascii="Tahoma" w:hAnsi="Tahoma" w:cs="Tahoma"/>
          <w:b/>
          <w:bCs/>
          <w:sz w:val="23"/>
          <w:szCs w:val="23"/>
        </w:rPr>
        <w:t xml:space="preserve"> </w:t>
      </w:r>
      <w:r w:rsidRPr="0096468A">
        <w:rPr>
          <w:rFonts w:ascii="Tahoma" w:hAnsi="Tahoma" w:cs="Tahoma"/>
          <w:b/>
          <w:bCs/>
          <w:sz w:val="23"/>
          <w:szCs w:val="23"/>
        </w:rPr>
        <w:t>qualifications at</w:t>
      </w:r>
      <w:r>
        <w:rPr>
          <w:rFonts w:ascii="Tahoma" w:hAnsi="Tahoma" w:cs="Tahoma"/>
          <w:b/>
          <w:bCs/>
          <w:sz w:val="23"/>
          <w:szCs w:val="23"/>
        </w:rPr>
        <w:t xml:space="preserve"> </w:t>
      </w:r>
      <w:r w:rsidRPr="0096468A">
        <w:rPr>
          <w:rFonts w:ascii="Tahoma" w:hAnsi="Tahoma" w:cs="Tahoma"/>
          <w:b/>
          <w:bCs/>
          <w:sz w:val="23"/>
          <w:szCs w:val="23"/>
        </w:rPr>
        <w:t>level 2 and below in England</w:t>
      </w:r>
    </w:p>
    <w:p w14:paraId="284457E9" w14:textId="06989506" w:rsidR="0032052F" w:rsidRDefault="0096468A" w:rsidP="0032052F">
      <w:pPr>
        <w:rPr>
          <w:rFonts w:ascii="Tahoma" w:hAnsi="Tahoma" w:cs="Tahoma"/>
          <w:sz w:val="23"/>
          <w:szCs w:val="23"/>
        </w:rPr>
      </w:pPr>
      <w:bookmarkStart w:id="0" w:name="_Hlk99730221"/>
      <w:r>
        <w:rPr>
          <w:rFonts w:ascii="Tahoma" w:hAnsi="Tahoma" w:cs="Tahoma"/>
          <w:sz w:val="23"/>
          <w:szCs w:val="23"/>
        </w:rPr>
        <w:t xml:space="preserve">Level 2 and below qualifications are hugely important for the </w:t>
      </w:r>
      <w:r w:rsidR="00963369">
        <w:rPr>
          <w:rFonts w:ascii="Tahoma" w:hAnsi="Tahoma" w:cs="Tahoma"/>
          <w:sz w:val="23"/>
          <w:szCs w:val="23"/>
        </w:rPr>
        <w:t>land-based</w:t>
      </w:r>
      <w:r>
        <w:rPr>
          <w:rFonts w:ascii="Tahoma" w:hAnsi="Tahoma" w:cs="Tahoma"/>
          <w:sz w:val="23"/>
          <w:szCs w:val="23"/>
        </w:rPr>
        <w:t xml:space="preserve"> sector and this proposal is a radical transformation of what will be funded.  </w:t>
      </w:r>
      <w:r w:rsidR="000365FE">
        <w:rPr>
          <w:rFonts w:ascii="Tahoma" w:hAnsi="Tahoma" w:cs="Tahoma"/>
          <w:sz w:val="23"/>
          <w:szCs w:val="23"/>
        </w:rPr>
        <w:t>T</w:t>
      </w:r>
      <w:r>
        <w:rPr>
          <w:rFonts w:ascii="Tahoma" w:hAnsi="Tahoma" w:cs="Tahoma"/>
          <w:sz w:val="23"/>
          <w:szCs w:val="23"/>
        </w:rPr>
        <w:t>his is a survey for employers as well as educational professionals and it is strongly recommended that time is taken to respond</w:t>
      </w:r>
      <w:r w:rsidR="00BC5D54">
        <w:rPr>
          <w:rFonts w:ascii="Tahoma" w:hAnsi="Tahoma" w:cs="Tahoma"/>
          <w:sz w:val="23"/>
          <w:szCs w:val="23"/>
        </w:rPr>
        <w:t xml:space="preserve"> – even if this is only to a few questions</w:t>
      </w:r>
      <w:r>
        <w:rPr>
          <w:rFonts w:ascii="Tahoma" w:hAnsi="Tahoma" w:cs="Tahoma"/>
          <w:sz w:val="23"/>
          <w:szCs w:val="23"/>
        </w:rPr>
        <w:t xml:space="preserve">.  </w:t>
      </w:r>
    </w:p>
    <w:p w14:paraId="6AB94660" w14:textId="5FD941FC" w:rsidR="00AE657E" w:rsidRDefault="004D4D73" w:rsidP="0032052F">
      <w:pPr>
        <w:rPr>
          <w:rFonts w:ascii="Tahoma" w:hAnsi="Tahoma" w:cs="Tahoma"/>
          <w:sz w:val="23"/>
          <w:szCs w:val="23"/>
        </w:rPr>
      </w:pPr>
      <w:r>
        <w:rPr>
          <w:rFonts w:ascii="Tahoma" w:hAnsi="Tahoma" w:cs="Tahoma"/>
          <w:sz w:val="23"/>
          <w:szCs w:val="23"/>
        </w:rPr>
        <w:t xml:space="preserve">These reforms aim to remove duplication, </w:t>
      </w:r>
      <w:proofErr w:type="gramStart"/>
      <w:r>
        <w:rPr>
          <w:rFonts w:ascii="Tahoma" w:hAnsi="Tahoma" w:cs="Tahoma"/>
          <w:sz w:val="23"/>
          <w:szCs w:val="23"/>
        </w:rPr>
        <w:t>simplify</w:t>
      </w:r>
      <w:proofErr w:type="gramEnd"/>
      <w:r>
        <w:rPr>
          <w:rFonts w:ascii="Tahoma" w:hAnsi="Tahoma" w:cs="Tahoma"/>
          <w:sz w:val="23"/>
          <w:szCs w:val="23"/>
        </w:rPr>
        <w:t xml:space="preserve"> and reduce the number of qualifications available at level 2 and below.  </w:t>
      </w:r>
      <w:r w:rsidR="0051087D">
        <w:rPr>
          <w:rFonts w:ascii="Tahoma" w:hAnsi="Tahoma" w:cs="Tahoma"/>
          <w:sz w:val="23"/>
          <w:szCs w:val="23"/>
        </w:rPr>
        <w:t xml:space="preserve">Some groups of qualifications are not in scope such as GCSEs and functional skills, but all technical qualifications are included.  </w:t>
      </w:r>
      <w:r>
        <w:rPr>
          <w:rFonts w:ascii="Tahoma" w:hAnsi="Tahoma" w:cs="Tahoma"/>
          <w:sz w:val="23"/>
          <w:szCs w:val="23"/>
        </w:rPr>
        <w:t xml:space="preserve">The Department for Education’s impact assessment report estimates </w:t>
      </w:r>
      <w:r w:rsidR="0051087D">
        <w:rPr>
          <w:rFonts w:ascii="Tahoma" w:hAnsi="Tahoma" w:cs="Tahoma"/>
          <w:sz w:val="23"/>
          <w:szCs w:val="23"/>
        </w:rPr>
        <w:t xml:space="preserve">that of level 2 in-scope qualifications, </w:t>
      </w:r>
      <w:r>
        <w:rPr>
          <w:rFonts w:ascii="Tahoma" w:hAnsi="Tahoma" w:cs="Tahoma"/>
          <w:sz w:val="23"/>
          <w:szCs w:val="23"/>
        </w:rPr>
        <w:t xml:space="preserve">72% </w:t>
      </w:r>
      <w:r w:rsidR="0051087D">
        <w:rPr>
          <w:rFonts w:ascii="Tahoma" w:hAnsi="Tahoma" w:cs="Tahoma"/>
          <w:sz w:val="23"/>
          <w:szCs w:val="23"/>
        </w:rPr>
        <w:t xml:space="preserve">for </w:t>
      </w:r>
      <w:proofErr w:type="gramStart"/>
      <w:r>
        <w:rPr>
          <w:rFonts w:ascii="Tahoma" w:hAnsi="Tahoma" w:cs="Tahoma"/>
          <w:sz w:val="23"/>
          <w:szCs w:val="23"/>
        </w:rPr>
        <w:t>16-</w:t>
      </w:r>
      <w:r w:rsidR="00DA7459">
        <w:rPr>
          <w:rFonts w:ascii="Tahoma" w:hAnsi="Tahoma" w:cs="Tahoma"/>
          <w:sz w:val="23"/>
          <w:szCs w:val="23"/>
        </w:rPr>
        <w:t>19 year olds</w:t>
      </w:r>
      <w:proofErr w:type="gramEnd"/>
      <w:r w:rsidR="00DA7459">
        <w:rPr>
          <w:rFonts w:ascii="Tahoma" w:hAnsi="Tahoma" w:cs="Tahoma"/>
          <w:sz w:val="23"/>
          <w:szCs w:val="23"/>
        </w:rPr>
        <w:t xml:space="preserve"> </w:t>
      </w:r>
      <w:r>
        <w:rPr>
          <w:rFonts w:ascii="Tahoma" w:hAnsi="Tahoma" w:cs="Tahoma"/>
          <w:sz w:val="23"/>
          <w:szCs w:val="23"/>
        </w:rPr>
        <w:t xml:space="preserve">and 57% for adults </w:t>
      </w:r>
      <w:r w:rsidR="0052507D">
        <w:rPr>
          <w:rFonts w:ascii="Tahoma" w:hAnsi="Tahoma" w:cs="Tahoma"/>
          <w:sz w:val="23"/>
          <w:szCs w:val="23"/>
        </w:rPr>
        <w:t>are likely to be lost</w:t>
      </w:r>
      <w:r w:rsidR="00DA7459">
        <w:rPr>
          <w:rFonts w:ascii="Tahoma" w:hAnsi="Tahoma" w:cs="Tahoma"/>
          <w:sz w:val="23"/>
          <w:szCs w:val="23"/>
        </w:rPr>
        <w:t>.  This includes a very large number of land-based qualifications includ</w:t>
      </w:r>
      <w:r w:rsidR="0052507D">
        <w:rPr>
          <w:rFonts w:ascii="Tahoma" w:hAnsi="Tahoma" w:cs="Tahoma"/>
          <w:sz w:val="23"/>
          <w:szCs w:val="23"/>
        </w:rPr>
        <w:t>ing</w:t>
      </w:r>
      <w:r w:rsidR="00DA7459">
        <w:rPr>
          <w:rFonts w:ascii="Tahoma" w:hAnsi="Tahoma" w:cs="Tahoma"/>
          <w:sz w:val="23"/>
          <w:szCs w:val="23"/>
        </w:rPr>
        <w:t xml:space="preserve"> those well recognised and valued by employers.  There is a very high risk that ‘simplification’ and ‘removal of duplication’ leads to lack of flexibility, which in the land-based sector is crucial to provide skills to the wide variety of sub sectors and different ways that land based businesses operate.  </w:t>
      </w:r>
    </w:p>
    <w:p w14:paraId="2B988FB7" w14:textId="14A92965" w:rsidR="00830FB5" w:rsidRDefault="00830FB5" w:rsidP="0096468A">
      <w:pPr>
        <w:rPr>
          <w:rFonts w:ascii="Tahoma" w:hAnsi="Tahoma" w:cs="Tahoma"/>
          <w:sz w:val="23"/>
          <w:szCs w:val="23"/>
        </w:rPr>
      </w:pPr>
      <w:r>
        <w:rPr>
          <w:rFonts w:ascii="Tahoma" w:hAnsi="Tahoma" w:cs="Tahoma"/>
          <w:sz w:val="23"/>
          <w:szCs w:val="23"/>
        </w:rPr>
        <w:t xml:space="preserve">The survey </w:t>
      </w:r>
      <w:r w:rsidR="00963369">
        <w:rPr>
          <w:rFonts w:ascii="Tahoma" w:hAnsi="Tahoma" w:cs="Tahoma"/>
          <w:sz w:val="23"/>
          <w:szCs w:val="23"/>
        </w:rPr>
        <w:t>is open until 27</w:t>
      </w:r>
      <w:r w:rsidR="00963369" w:rsidRPr="00963369">
        <w:rPr>
          <w:rFonts w:ascii="Tahoma" w:hAnsi="Tahoma" w:cs="Tahoma"/>
          <w:sz w:val="23"/>
          <w:szCs w:val="23"/>
          <w:vertAlign w:val="superscript"/>
        </w:rPr>
        <w:t>th</w:t>
      </w:r>
      <w:r w:rsidR="00963369">
        <w:rPr>
          <w:rFonts w:ascii="Tahoma" w:hAnsi="Tahoma" w:cs="Tahoma"/>
          <w:sz w:val="23"/>
          <w:szCs w:val="23"/>
        </w:rPr>
        <w:t xml:space="preserve"> April 2022 and can be completed online here: </w:t>
      </w:r>
      <w:hyperlink r:id="rId8" w:history="1">
        <w:r w:rsidR="00BC5D54" w:rsidRPr="00815DAA">
          <w:rPr>
            <w:rStyle w:val="Hyperlink"/>
            <w:rFonts w:ascii="Tahoma" w:hAnsi="Tahoma" w:cs="Tahoma"/>
            <w:sz w:val="23"/>
            <w:szCs w:val="23"/>
          </w:rPr>
          <w:t>https://consult.education.gov.uk/post-16-qualifications-review-team/review-of-post-16-qualifications-at-level-2-and-be/</w:t>
        </w:r>
      </w:hyperlink>
      <w:bookmarkEnd w:id="0"/>
      <w:r w:rsidR="00BC5D54">
        <w:rPr>
          <w:rFonts w:ascii="Tahoma" w:hAnsi="Tahoma" w:cs="Tahoma"/>
          <w:sz w:val="23"/>
          <w:szCs w:val="23"/>
        </w:rPr>
        <w:t xml:space="preserve"> </w:t>
      </w:r>
    </w:p>
    <w:p w14:paraId="20EB8A17" w14:textId="1D6D80D1" w:rsidR="00167965" w:rsidRDefault="00167965" w:rsidP="00167965">
      <w:pPr>
        <w:rPr>
          <w:rFonts w:ascii="Tahoma" w:hAnsi="Tahoma" w:cs="Tahoma"/>
          <w:sz w:val="23"/>
          <w:szCs w:val="23"/>
        </w:rPr>
      </w:pPr>
      <w:r w:rsidRPr="0096468A">
        <w:rPr>
          <w:rFonts w:ascii="Tahoma" w:hAnsi="Tahoma" w:cs="Tahoma"/>
          <w:sz w:val="23"/>
          <w:szCs w:val="23"/>
        </w:rPr>
        <w:t xml:space="preserve">The following </w:t>
      </w:r>
      <w:r>
        <w:rPr>
          <w:rFonts w:ascii="Tahoma" w:hAnsi="Tahoma" w:cs="Tahoma"/>
          <w:sz w:val="23"/>
          <w:szCs w:val="23"/>
        </w:rPr>
        <w:t xml:space="preserve">document contains summary information from the consultation (in green boxes) and gives the survey questions with </w:t>
      </w:r>
      <w:r w:rsidR="0052507D">
        <w:rPr>
          <w:rFonts w:ascii="Tahoma" w:hAnsi="Tahoma" w:cs="Tahoma"/>
          <w:sz w:val="23"/>
          <w:szCs w:val="23"/>
        </w:rPr>
        <w:t xml:space="preserve">our response </w:t>
      </w:r>
      <w:r>
        <w:rPr>
          <w:rFonts w:ascii="Tahoma" w:hAnsi="Tahoma" w:cs="Tahoma"/>
          <w:sz w:val="23"/>
          <w:szCs w:val="23"/>
        </w:rPr>
        <w:t xml:space="preserve">underneath each box.  Please do feel free to use this as a basis for your own submission as the outcomes of this consultation will fundamentally change the level 2 qualifications available to bring people in and develop them in our industries.  </w:t>
      </w:r>
      <w:r w:rsidR="00C76AF2">
        <w:rPr>
          <w:rFonts w:ascii="Tahoma" w:hAnsi="Tahoma" w:cs="Tahoma"/>
          <w:sz w:val="23"/>
          <w:szCs w:val="23"/>
        </w:rPr>
        <w:t xml:space="preserve">Consider including examples from your own experience to support the points.  </w:t>
      </w:r>
    </w:p>
    <w:p w14:paraId="1FE31454" w14:textId="00D9FC8E" w:rsidR="0032052F" w:rsidRDefault="00BC5D54" w:rsidP="00904E21">
      <w:pPr>
        <w:rPr>
          <w:rFonts w:ascii="Tahoma" w:hAnsi="Tahoma" w:cs="Tahoma"/>
          <w:sz w:val="23"/>
          <w:szCs w:val="23"/>
        </w:rPr>
      </w:pPr>
      <w:r>
        <w:rPr>
          <w:rFonts w:ascii="Tahoma" w:hAnsi="Tahoma" w:cs="Tahoma"/>
          <w:sz w:val="23"/>
          <w:szCs w:val="23"/>
        </w:rPr>
        <w:t xml:space="preserve">The </w:t>
      </w:r>
      <w:r w:rsidR="00167965">
        <w:rPr>
          <w:rFonts w:ascii="Tahoma" w:hAnsi="Tahoma" w:cs="Tahoma"/>
          <w:sz w:val="23"/>
          <w:szCs w:val="23"/>
        </w:rPr>
        <w:t xml:space="preserve">proposals are that </w:t>
      </w:r>
      <w:r w:rsidR="0057553E">
        <w:rPr>
          <w:rFonts w:ascii="Tahoma" w:hAnsi="Tahoma" w:cs="Tahoma"/>
          <w:sz w:val="23"/>
          <w:szCs w:val="23"/>
        </w:rPr>
        <w:t xml:space="preserve">at level 2 and below, </w:t>
      </w:r>
      <w:r w:rsidR="00167965">
        <w:rPr>
          <w:rFonts w:ascii="Tahoma" w:hAnsi="Tahoma" w:cs="Tahoma"/>
          <w:sz w:val="23"/>
          <w:szCs w:val="23"/>
        </w:rPr>
        <w:t>only qualifications</w:t>
      </w:r>
      <w:r w:rsidR="0057553E">
        <w:rPr>
          <w:rFonts w:ascii="Tahoma" w:hAnsi="Tahoma" w:cs="Tahoma"/>
          <w:sz w:val="23"/>
          <w:szCs w:val="23"/>
        </w:rPr>
        <w:t xml:space="preserve"> </w:t>
      </w:r>
      <w:r w:rsidR="00167965">
        <w:rPr>
          <w:rFonts w:ascii="Tahoma" w:hAnsi="Tahoma" w:cs="Tahoma"/>
          <w:sz w:val="23"/>
          <w:szCs w:val="23"/>
        </w:rPr>
        <w:t>that fit into certain</w:t>
      </w:r>
      <w:r>
        <w:rPr>
          <w:rFonts w:ascii="Tahoma" w:hAnsi="Tahoma" w:cs="Tahoma"/>
          <w:sz w:val="23"/>
          <w:szCs w:val="23"/>
        </w:rPr>
        <w:t xml:space="preserve"> ‘groups’ </w:t>
      </w:r>
      <w:r w:rsidR="00167965">
        <w:rPr>
          <w:rFonts w:ascii="Tahoma" w:hAnsi="Tahoma" w:cs="Tahoma"/>
          <w:sz w:val="23"/>
          <w:szCs w:val="23"/>
        </w:rPr>
        <w:t xml:space="preserve">will </w:t>
      </w:r>
      <w:r>
        <w:rPr>
          <w:rFonts w:ascii="Tahoma" w:hAnsi="Tahoma" w:cs="Tahoma"/>
          <w:sz w:val="23"/>
          <w:szCs w:val="23"/>
        </w:rPr>
        <w:t xml:space="preserve">be funded. </w:t>
      </w:r>
      <w:r w:rsidR="0057553E">
        <w:rPr>
          <w:rFonts w:ascii="Tahoma" w:hAnsi="Tahoma" w:cs="Tahoma"/>
          <w:sz w:val="23"/>
          <w:szCs w:val="23"/>
        </w:rPr>
        <w:t>Each group outlines the purpose and criteria (</w:t>
      </w:r>
      <w:proofErr w:type="gramStart"/>
      <w:r w:rsidR="0057553E">
        <w:rPr>
          <w:rFonts w:ascii="Tahoma" w:hAnsi="Tahoma" w:cs="Tahoma"/>
          <w:sz w:val="23"/>
          <w:szCs w:val="23"/>
        </w:rPr>
        <w:t>e.g.</w:t>
      </w:r>
      <w:proofErr w:type="gramEnd"/>
      <w:r w:rsidR="0057553E">
        <w:rPr>
          <w:rFonts w:ascii="Tahoma" w:hAnsi="Tahoma" w:cs="Tahoma"/>
          <w:sz w:val="23"/>
          <w:szCs w:val="23"/>
        </w:rPr>
        <w:t xml:space="preserve"> size) that qualifications must meet.  </w:t>
      </w:r>
    </w:p>
    <w:p w14:paraId="44D7B60A" w14:textId="74288830" w:rsidR="00C76AF2" w:rsidRPr="00C76AF2" w:rsidRDefault="00C76AF2" w:rsidP="00904E21">
      <w:pPr>
        <w:rPr>
          <w:rFonts w:ascii="Tahoma" w:hAnsi="Tahoma" w:cs="Tahoma"/>
          <w:b/>
          <w:bCs/>
          <w:sz w:val="23"/>
          <w:szCs w:val="23"/>
        </w:rPr>
      </w:pPr>
      <w:r w:rsidRPr="00C76AF2">
        <w:rPr>
          <w:rFonts w:ascii="Tahoma" w:hAnsi="Tahoma" w:cs="Tahoma"/>
          <w:b/>
          <w:bCs/>
          <w:sz w:val="23"/>
          <w:szCs w:val="23"/>
        </w:rPr>
        <w:t xml:space="preserve">You may want to focus on the following questions: </w:t>
      </w:r>
    </w:p>
    <w:p w14:paraId="2A3485E3" w14:textId="22F8C64C" w:rsidR="0032052F" w:rsidRPr="00FA2AF6" w:rsidRDefault="0057553E" w:rsidP="00FA2AF6">
      <w:pPr>
        <w:rPr>
          <w:rFonts w:ascii="Tahoma" w:hAnsi="Tahoma" w:cs="Tahoma"/>
          <w:sz w:val="23"/>
          <w:szCs w:val="23"/>
        </w:rPr>
      </w:pPr>
      <w:r>
        <w:rPr>
          <w:rFonts w:ascii="Tahoma" w:hAnsi="Tahoma" w:cs="Tahoma"/>
          <w:sz w:val="23"/>
          <w:szCs w:val="23"/>
        </w:rPr>
        <w:t>I</w:t>
      </w:r>
      <w:r w:rsidR="00FA2AF6" w:rsidRPr="00FA2AF6">
        <w:rPr>
          <w:rFonts w:ascii="Tahoma" w:hAnsi="Tahoma" w:cs="Tahoma"/>
          <w:sz w:val="23"/>
          <w:szCs w:val="23"/>
        </w:rPr>
        <w:t xml:space="preserve">f any of the following </w:t>
      </w:r>
      <w:r w:rsidR="00A7254A">
        <w:rPr>
          <w:rFonts w:ascii="Tahoma" w:hAnsi="Tahoma" w:cs="Tahoma"/>
          <w:sz w:val="23"/>
          <w:szCs w:val="23"/>
        </w:rPr>
        <w:t>issues</w:t>
      </w:r>
      <w:r w:rsidR="00FA2AF6" w:rsidRPr="00FA2AF6">
        <w:rPr>
          <w:rFonts w:ascii="Tahoma" w:hAnsi="Tahoma" w:cs="Tahoma"/>
          <w:sz w:val="23"/>
          <w:szCs w:val="23"/>
        </w:rPr>
        <w:t xml:space="preserve"> are important to you</w:t>
      </w:r>
      <w:r>
        <w:rPr>
          <w:rFonts w:ascii="Tahoma" w:hAnsi="Tahoma" w:cs="Tahoma"/>
          <w:sz w:val="23"/>
          <w:szCs w:val="23"/>
        </w:rPr>
        <w:t xml:space="preserve">, the most crucial </w:t>
      </w:r>
      <w:r w:rsidR="00A7254A">
        <w:rPr>
          <w:rFonts w:ascii="Tahoma" w:hAnsi="Tahoma" w:cs="Tahoma"/>
          <w:sz w:val="23"/>
          <w:szCs w:val="23"/>
        </w:rPr>
        <w:t xml:space="preserve">sections are </w:t>
      </w:r>
      <w:r w:rsidR="00FA2AF6" w:rsidRPr="00FA2AF6">
        <w:rPr>
          <w:rFonts w:ascii="Tahoma" w:hAnsi="Tahoma" w:cs="Tahoma"/>
          <w:sz w:val="23"/>
          <w:szCs w:val="23"/>
        </w:rPr>
        <w:t xml:space="preserve">Group 2, Group </w:t>
      </w:r>
      <w:proofErr w:type="gramStart"/>
      <w:r w:rsidR="00FA2AF6" w:rsidRPr="00FA2AF6">
        <w:rPr>
          <w:rFonts w:ascii="Tahoma" w:hAnsi="Tahoma" w:cs="Tahoma"/>
          <w:sz w:val="23"/>
          <w:szCs w:val="23"/>
        </w:rPr>
        <w:t>3</w:t>
      </w:r>
      <w:proofErr w:type="gramEnd"/>
      <w:r w:rsidR="00FA2AF6" w:rsidRPr="00FA2AF6">
        <w:rPr>
          <w:rFonts w:ascii="Tahoma" w:hAnsi="Tahoma" w:cs="Tahoma"/>
          <w:sz w:val="23"/>
          <w:szCs w:val="23"/>
        </w:rPr>
        <w:t xml:space="preserve"> and Group 6.  Specifically questions </w:t>
      </w:r>
      <w:r w:rsidR="00FA2AF6" w:rsidRPr="00050A1B">
        <w:rPr>
          <w:rFonts w:ascii="Tahoma" w:hAnsi="Tahoma" w:cs="Tahoma"/>
          <w:b/>
          <w:bCs/>
          <w:sz w:val="23"/>
          <w:szCs w:val="23"/>
        </w:rPr>
        <w:t xml:space="preserve">7, 8, 9, 21 and 22. </w:t>
      </w:r>
    </w:p>
    <w:p w14:paraId="146D00C0" w14:textId="0DA655D2" w:rsidR="00167965" w:rsidRPr="00B87910" w:rsidRDefault="00167965" w:rsidP="0032052F">
      <w:pPr>
        <w:pStyle w:val="ListParagraph"/>
        <w:numPr>
          <w:ilvl w:val="0"/>
          <w:numId w:val="14"/>
        </w:numPr>
        <w:rPr>
          <w:rFonts w:ascii="Tahoma" w:hAnsi="Tahoma" w:cs="Tahoma"/>
          <w:sz w:val="23"/>
          <w:szCs w:val="23"/>
        </w:rPr>
      </w:pPr>
      <w:r w:rsidRPr="00B87910">
        <w:rPr>
          <w:rFonts w:ascii="Tahoma" w:hAnsi="Tahoma" w:cs="Tahoma"/>
          <w:sz w:val="23"/>
          <w:szCs w:val="23"/>
        </w:rPr>
        <w:t>If you want level 2 qualifications that a</w:t>
      </w:r>
      <w:r w:rsidR="00FA2AF6" w:rsidRPr="00B87910">
        <w:rPr>
          <w:rFonts w:ascii="Tahoma" w:hAnsi="Tahoma" w:cs="Tahoma"/>
          <w:sz w:val="23"/>
          <w:szCs w:val="23"/>
        </w:rPr>
        <w:t>r</w:t>
      </w:r>
      <w:r w:rsidR="00D77668" w:rsidRPr="00B87910">
        <w:rPr>
          <w:rFonts w:ascii="Tahoma" w:hAnsi="Tahoma" w:cs="Tahoma"/>
          <w:sz w:val="23"/>
          <w:szCs w:val="23"/>
        </w:rPr>
        <w:t>e shorter than 1-2 years full time</w:t>
      </w:r>
      <w:r w:rsidRPr="00B87910">
        <w:rPr>
          <w:rFonts w:ascii="Tahoma" w:hAnsi="Tahoma" w:cs="Tahoma"/>
          <w:sz w:val="23"/>
          <w:szCs w:val="23"/>
        </w:rPr>
        <w:t xml:space="preserve"> that train people for work</w:t>
      </w:r>
      <w:r w:rsidR="00FA2AF6" w:rsidRPr="00B87910">
        <w:rPr>
          <w:rFonts w:ascii="Tahoma" w:hAnsi="Tahoma" w:cs="Tahoma"/>
          <w:sz w:val="23"/>
          <w:szCs w:val="23"/>
        </w:rPr>
        <w:t xml:space="preserve">.  </w:t>
      </w:r>
    </w:p>
    <w:p w14:paraId="1900D248" w14:textId="138B44C9" w:rsidR="00912C16" w:rsidRPr="00B87910" w:rsidRDefault="00912C16" w:rsidP="0032052F">
      <w:pPr>
        <w:pStyle w:val="ListParagraph"/>
        <w:numPr>
          <w:ilvl w:val="0"/>
          <w:numId w:val="14"/>
        </w:numPr>
        <w:rPr>
          <w:rFonts w:ascii="Tahoma" w:hAnsi="Tahoma" w:cs="Tahoma"/>
          <w:sz w:val="23"/>
          <w:szCs w:val="23"/>
        </w:rPr>
      </w:pPr>
      <w:r w:rsidRPr="00B87910">
        <w:rPr>
          <w:rFonts w:ascii="Tahoma" w:hAnsi="Tahoma" w:cs="Tahoma"/>
          <w:sz w:val="23"/>
          <w:szCs w:val="23"/>
        </w:rPr>
        <w:t xml:space="preserve">If you want level 2 qualifications that </w:t>
      </w:r>
      <w:r w:rsidR="00D77668" w:rsidRPr="00B87910">
        <w:rPr>
          <w:rFonts w:ascii="Tahoma" w:hAnsi="Tahoma" w:cs="Tahoma"/>
          <w:sz w:val="23"/>
          <w:szCs w:val="23"/>
        </w:rPr>
        <w:t xml:space="preserve">cover basic skills, but are adapted </w:t>
      </w:r>
      <w:r w:rsidRPr="00B87910">
        <w:rPr>
          <w:rFonts w:ascii="Tahoma" w:hAnsi="Tahoma" w:cs="Tahoma"/>
          <w:sz w:val="23"/>
          <w:szCs w:val="23"/>
        </w:rPr>
        <w:t>for a specific sub sector</w:t>
      </w:r>
      <w:r w:rsidR="00D77668" w:rsidRPr="00B87910">
        <w:rPr>
          <w:rFonts w:ascii="Tahoma" w:hAnsi="Tahoma" w:cs="Tahoma"/>
          <w:sz w:val="23"/>
          <w:szCs w:val="23"/>
        </w:rPr>
        <w:t xml:space="preserve"> (</w:t>
      </w:r>
      <w:proofErr w:type="gramStart"/>
      <w:r w:rsidR="00D77668" w:rsidRPr="00B87910">
        <w:rPr>
          <w:rFonts w:ascii="Tahoma" w:hAnsi="Tahoma" w:cs="Tahoma"/>
          <w:sz w:val="23"/>
          <w:szCs w:val="23"/>
        </w:rPr>
        <w:t>e.g.</w:t>
      </w:r>
      <w:proofErr w:type="gramEnd"/>
      <w:r w:rsidR="00D77668" w:rsidRPr="00B87910">
        <w:rPr>
          <w:rFonts w:ascii="Tahoma" w:hAnsi="Tahoma" w:cs="Tahoma"/>
          <w:sz w:val="23"/>
          <w:szCs w:val="23"/>
        </w:rPr>
        <w:t xml:space="preserve"> the RHS Qualifications)</w:t>
      </w:r>
      <w:r w:rsidR="00FA2AF6" w:rsidRPr="00B87910">
        <w:rPr>
          <w:rFonts w:ascii="Tahoma" w:hAnsi="Tahoma" w:cs="Tahoma"/>
          <w:sz w:val="23"/>
          <w:szCs w:val="23"/>
        </w:rPr>
        <w:t xml:space="preserve">.  </w:t>
      </w:r>
    </w:p>
    <w:p w14:paraId="3203D56B" w14:textId="72BABE37" w:rsidR="00912C16" w:rsidRPr="00B87910" w:rsidRDefault="00912C16" w:rsidP="0032052F">
      <w:pPr>
        <w:pStyle w:val="ListParagraph"/>
        <w:numPr>
          <w:ilvl w:val="0"/>
          <w:numId w:val="14"/>
        </w:numPr>
        <w:rPr>
          <w:rFonts w:ascii="Tahoma" w:hAnsi="Tahoma" w:cs="Tahoma"/>
          <w:sz w:val="23"/>
          <w:szCs w:val="23"/>
        </w:rPr>
      </w:pPr>
      <w:r w:rsidRPr="00B87910">
        <w:rPr>
          <w:rFonts w:ascii="Tahoma" w:hAnsi="Tahoma" w:cs="Tahoma"/>
          <w:sz w:val="23"/>
          <w:szCs w:val="23"/>
        </w:rPr>
        <w:t>If your sector does not have a level 2 apprenticeship standard and you want level 2 qualifications (</w:t>
      </w:r>
      <w:proofErr w:type="gramStart"/>
      <w:r w:rsidRPr="00B87910">
        <w:rPr>
          <w:rFonts w:ascii="Tahoma" w:hAnsi="Tahoma" w:cs="Tahoma"/>
          <w:sz w:val="23"/>
          <w:szCs w:val="23"/>
        </w:rPr>
        <w:t>e.g.</w:t>
      </w:r>
      <w:proofErr w:type="gramEnd"/>
      <w:r w:rsidRPr="00B87910">
        <w:rPr>
          <w:rFonts w:ascii="Tahoma" w:hAnsi="Tahoma" w:cs="Tahoma"/>
          <w:sz w:val="23"/>
          <w:szCs w:val="23"/>
        </w:rPr>
        <w:t xml:space="preserve"> production horticulture, forestry)</w:t>
      </w:r>
      <w:r w:rsidR="00B87910" w:rsidRPr="00B87910">
        <w:rPr>
          <w:rFonts w:ascii="Tahoma" w:hAnsi="Tahoma" w:cs="Tahoma"/>
          <w:sz w:val="23"/>
          <w:szCs w:val="23"/>
        </w:rPr>
        <w:t>.</w:t>
      </w:r>
    </w:p>
    <w:p w14:paraId="496DC55B" w14:textId="5E69C938" w:rsidR="00167965" w:rsidRPr="00167965" w:rsidRDefault="00FC2874" w:rsidP="00167965">
      <w:pPr>
        <w:rPr>
          <w:rFonts w:ascii="Tahoma" w:hAnsi="Tahoma" w:cs="Tahoma"/>
          <w:sz w:val="23"/>
          <w:szCs w:val="23"/>
        </w:rPr>
      </w:pPr>
      <w:r>
        <w:rPr>
          <w:rFonts w:ascii="Tahoma" w:hAnsi="Tahoma" w:cs="Tahoma"/>
          <w:sz w:val="23"/>
          <w:szCs w:val="23"/>
        </w:rPr>
        <w:t xml:space="preserve">If you are interested in </w:t>
      </w:r>
      <w:r w:rsidR="00A7254A">
        <w:rPr>
          <w:rFonts w:ascii="Tahoma" w:hAnsi="Tahoma" w:cs="Tahoma"/>
          <w:sz w:val="23"/>
          <w:szCs w:val="23"/>
        </w:rPr>
        <w:t xml:space="preserve">level 2 </w:t>
      </w:r>
      <w:r>
        <w:rPr>
          <w:rFonts w:ascii="Tahoma" w:hAnsi="Tahoma" w:cs="Tahoma"/>
          <w:sz w:val="23"/>
          <w:szCs w:val="23"/>
        </w:rPr>
        <w:t>specialist qualifications over and above the apprenticeship standard, t</w:t>
      </w:r>
      <w:r w:rsidR="00447760">
        <w:rPr>
          <w:rFonts w:ascii="Tahoma" w:hAnsi="Tahoma" w:cs="Tahoma"/>
          <w:sz w:val="23"/>
          <w:szCs w:val="23"/>
        </w:rPr>
        <w:t xml:space="preserve">hen focus on </w:t>
      </w:r>
      <w:r w:rsidR="006206F3">
        <w:rPr>
          <w:rFonts w:ascii="Tahoma" w:hAnsi="Tahoma" w:cs="Tahoma"/>
          <w:sz w:val="23"/>
          <w:szCs w:val="23"/>
        </w:rPr>
        <w:t xml:space="preserve">Group 4 </w:t>
      </w:r>
      <w:r w:rsidR="006206F3" w:rsidRPr="006206F3">
        <w:rPr>
          <w:rFonts w:ascii="Tahoma" w:hAnsi="Tahoma" w:cs="Tahoma"/>
          <w:sz w:val="23"/>
          <w:szCs w:val="23"/>
        </w:rPr>
        <w:t xml:space="preserve">(question </w:t>
      </w:r>
      <w:r w:rsidR="006206F3" w:rsidRPr="00050A1B">
        <w:rPr>
          <w:rFonts w:ascii="Tahoma" w:hAnsi="Tahoma" w:cs="Tahoma"/>
          <w:b/>
          <w:bCs/>
          <w:sz w:val="23"/>
          <w:szCs w:val="23"/>
        </w:rPr>
        <w:t>1</w:t>
      </w:r>
      <w:r w:rsidR="00050A1B">
        <w:rPr>
          <w:rFonts w:ascii="Tahoma" w:hAnsi="Tahoma" w:cs="Tahoma"/>
          <w:b/>
          <w:bCs/>
          <w:sz w:val="23"/>
          <w:szCs w:val="23"/>
        </w:rPr>
        <w:t>0</w:t>
      </w:r>
      <w:r w:rsidR="006206F3" w:rsidRPr="006206F3">
        <w:rPr>
          <w:rFonts w:ascii="Tahoma" w:hAnsi="Tahoma" w:cs="Tahoma"/>
          <w:sz w:val="23"/>
          <w:szCs w:val="23"/>
        </w:rPr>
        <w:t>)</w:t>
      </w:r>
      <w:r w:rsidR="008D291C">
        <w:rPr>
          <w:rFonts w:ascii="Tahoma" w:hAnsi="Tahoma" w:cs="Tahoma"/>
          <w:sz w:val="23"/>
          <w:szCs w:val="23"/>
        </w:rPr>
        <w:t xml:space="preserve">.  </w:t>
      </w:r>
    </w:p>
    <w:p w14:paraId="24BB12DE" w14:textId="21D62BBA" w:rsidR="0032052F" w:rsidRDefault="0032052F" w:rsidP="00B87910">
      <w:pPr>
        <w:rPr>
          <w:rFonts w:ascii="Tahoma" w:hAnsi="Tahoma" w:cs="Tahoma"/>
          <w:sz w:val="23"/>
          <w:szCs w:val="23"/>
        </w:rPr>
      </w:pPr>
      <w:r w:rsidRPr="00B87910">
        <w:rPr>
          <w:rFonts w:ascii="Tahoma" w:hAnsi="Tahoma" w:cs="Tahoma"/>
          <w:sz w:val="23"/>
          <w:szCs w:val="23"/>
        </w:rPr>
        <w:t xml:space="preserve">For </w:t>
      </w:r>
      <w:r w:rsidR="009240CC" w:rsidRPr="00B87910">
        <w:rPr>
          <w:rFonts w:ascii="Tahoma" w:hAnsi="Tahoma" w:cs="Tahoma"/>
          <w:sz w:val="23"/>
          <w:szCs w:val="23"/>
        </w:rPr>
        <w:t xml:space="preserve">level 2 </w:t>
      </w:r>
      <w:r w:rsidRPr="00B87910">
        <w:rPr>
          <w:rFonts w:ascii="Tahoma" w:hAnsi="Tahoma" w:cs="Tahoma"/>
          <w:sz w:val="23"/>
          <w:szCs w:val="23"/>
        </w:rPr>
        <w:t xml:space="preserve">short course training that goes across sectors such as machinery, health and safety, ROLO or CSCS answer Group 5 </w:t>
      </w:r>
      <w:r w:rsidR="00050A1B">
        <w:rPr>
          <w:rFonts w:ascii="Tahoma" w:hAnsi="Tahoma" w:cs="Tahoma"/>
          <w:sz w:val="23"/>
          <w:szCs w:val="23"/>
        </w:rPr>
        <w:t xml:space="preserve">(question </w:t>
      </w:r>
      <w:r w:rsidR="00050A1B" w:rsidRPr="00050A1B">
        <w:rPr>
          <w:rFonts w:ascii="Tahoma" w:hAnsi="Tahoma" w:cs="Tahoma"/>
          <w:b/>
          <w:bCs/>
          <w:sz w:val="23"/>
          <w:szCs w:val="23"/>
        </w:rPr>
        <w:t>11</w:t>
      </w:r>
      <w:r w:rsidR="00050A1B">
        <w:rPr>
          <w:rFonts w:ascii="Tahoma" w:hAnsi="Tahoma" w:cs="Tahoma"/>
          <w:sz w:val="23"/>
          <w:szCs w:val="23"/>
        </w:rPr>
        <w:t>)</w:t>
      </w:r>
    </w:p>
    <w:p w14:paraId="44B54ED0" w14:textId="77777777" w:rsidR="0057553E" w:rsidRDefault="0057553E" w:rsidP="0057553E">
      <w:pPr>
        <w:rPr>
          <w:rFonts w:ascii="Tahoma" w:hAnsi="Tahoma" w:cs="Tahoma"/>
          <w:sz w:val="23"/>
          <w:szCs w:val="23"/>
        </w:rPr>
      </w:pPr>
      <w:r>
        <w:rPr>
          <w:rFonts w:ascii="Tahoma" w:hAnsi="Tahoma" w:cs="Tahoma"/>
          <w:sz w:val="23"/>
          <w:szCs w:val="23"/>
        </w:rPr>
        <w:t xml:space="preserve">Right at the end questions </w:t>
      </w:r>
      <w:r w:rsidRPr="00050A1B">
        <w:rPr>
          <w:rFonts w:ascii="Tahoma" w:hAnsi="Tahoma" w:cs="Tahoma"/>
          <w:b/>
          <w:bCs/>
          <w:sz w:val="23"/>
          <w:szCs w:val="23"/>
        </w:rPr>
        <w:t>35, 36 and 37</w:t>
      </w:r>
      <w:r>
        <w:rPr>
          <w:rFonts w:ascii="Tahoma" w:hAnsi="Tahoma" w:cs="Tahoma"/>
          <w:sz w:val="23"/>
          <w:szCs w:val="23"/>
        </w:rPr>
        <w:t xml:space="preserve"> enable general feedback on the implementation and impact of the reforms.  </w:t>
      </w:r>
    </w:p>
    <w:p w14:paraId="38A5B95F" w14:textId="7A9D5CF9" w:rsidR="00BC5D54" w:rsidRPr="002A0572" w:rsidRDefault="00904E21" w:rsidP="00904E21">
      <w:pPr>
        <w:rPr>
          <w:rFonts w:ascii="Tahoma" w:hAnsi="Tahoma" w:cs="Tahoma"/>
          <w:sz w:val="23"/>
          <w:szCs w:val="23"/>
        </w:rPr>
      </w:pPr>
      <w:r>
        <w:rPr>
          <w:rFonts w:ascii="Tahoma" w:hAnsi="Tahoma" w:cs="Tahoma"/>
          <w:sz w:val="23"/>
          <w:szCs w:val="23"/>
        </w:rPr>
        <w:t xml:space="preserve">To </w:t>
      </w:r>
      <w:r w:rsidR="00050A1B">
        <w:rPr>
          <w:rFonts w:ascii="Tahoma" w:hAnsi="Tahoma" w:cs="Tahoma"/>
          <w:sz w:val="23"/>
          <w:szCs w:val="23"/>
        </w:rPr>
        <w:t>focus on</w:t>
      </w:r>
      <w:r>
        <w:rPr>
          <w:rFonts w:ascii="Tahoma" w:hAnsi="Tahoma" w:cs="Tahoma"/>
          <w:sz w:val="23"/>
          <w:szCs w:val="23"/>
        </w:rPr>
        <w:t xml:space="preserve"> a specific group or topic use the following table: </w:t>
      </w:r>
    </w:p>
    <w:p w14:paraId="0A08C0FF" w14:textId="1644D847" w:rsidR="00904E21" w:rsidRDefault="00653966">
      <w:pPr>
        <w:pStyle w:val="TOC1"/>
        <w:tabs>
          <w:tab w:val="right" w:leader="dot" w:pos="9742"/>
        </w:tabs>
        <w:rPr>
          <w:rFonts w:eastAsiaTheme="minorEastAsia"/>
          <w:noProof/>
          <w:lang w:eastAsia="en-GB"/>
        </w:rPr>
      </w:pPr>
      <w:r>
        <w:rPr>
          <w:rFonts w:ascii="Tahoma" w:hAnsi="Tahoma" w:cs="Tahoma"/>
          <w:b/>
          <w:bCs/>
          <w:sz w:val="23"/>
          <w:szCs w:val="23"/>
        </w:rPr>
        <w:lastRenderedPageBreak/>
        <w:fldChar w:fldCharType="begin"/>
      </w:r>
      <w:r>
        <w:rPr>
          <w:rFonts w:ascii="Tahoma" w:hAnsi="Tahoma" w:cs="Tahoma"/>
          <w:b/>
          <w:bCs/>
          <w:sz w:val="23"/>
          <w:szCs w:val="23"/>
        </w:rPr>
        <w:instrText xml:space="preserve"> TOC \o "1-1" \h \z \u </w:instrText>
      </w:r>
      <w:r>
        <w:rPr>
          <w:rFonts w:ascii="Tahoma" w:hAnsi="Tahoma" w:cs="Tahoma"/>
          <w:b/>
          <w:bCs/>
          <w:sz w:val="23"/>
          <w:szCs w:val="23"/>
        </w:rPr>
        <w:fldChar w:fldCharType="separate"/>
      </w:r>
      <w:hyperlink w:anchor="_Toc99562944" w:history="1">
        <w:r w:rsidR="00904E21" w:rsidRPr="009E7F21">
          <w:rPr>
            <w:rStyle w:val="Hyperlink"/>
            <w:noProof/>
          </w:rPr>
          <w:t>Group 1: Qualifications supporting progression to level 3 technical study</w:t>
        </w:r>
        <w:r w:rsidR="00904E21">
          <w:rPr>
            <w:noProof/>
            <w:webHidden/>
          </w:rPr>
          <w:tab/>
        </w:r>
        <w:r w:rsidR="00904E21">
          <w:rPr>
            <w:noProof/>
            <w:webHidden/>
          </w:rPr>
          <w:fldChar w:fldCharType="begin"/>
        </w:r>
        <w:r w:rsidR="00904E21">
          <w:rPr>
            <w:noProof/>
            <w:webHidden/>
          </w:rPr>
          <w:instrText xml:space="preserve"> PAGEREF _Toc99562944 \h </w:instrText>
        </w:r>
        <w:r w:rsidR="00904E21">
          <w:rPr>
            <w:noProof/>
            <w:webHidden/>
          </w:rPr>
        </w:r>
        <w:r w:rsidR="00904E21">
          <w:rPr>
            <w:noProof/>
            <w:webHidden/>
          </w:rPr>
          <w:fldChar w:fldCharType="separate"/>
        </w:r>
        <w:r w:rsidR="00FE2352">
          <w:rPr>
            <w:noProof/>
            <w:webHidden/>
          </w:rPr>
          <w:t>2</w:t>
        </w:r>
        <w:r w:rsidR="00904E21">
          <w:rPr>
            <w:noProof/>
            <w:webHidden/>
          </w:rPr>
          <w:fldChar w:fldCharType="end"/>
        </w:r>
      </w:hyperlink>
    </w:p>
    <w:p w14:paraId="0CE0AAB7" w14:textId="642BF744" w:rsidR="00904E21" w:rsidRDefault="00A85F1F">
      <w:pPr>
        <w:pStyle w:val="TOC1"/>
        <w:tabs>
          <w:tab w:val="right" w:leader="dot" w:pos="9742"/>
        </w:tabs>
        <w:rPr>
          <w:rFonts w:eastAsiaTheme="minorEastAsia"/>
          <w:noProof/>
          <w:lang w:eastAsia="en-GB"/>
        </w:rPr>
      </w:pPr>
      <w:hyperlink w:anchor="_Toc99562945" w:history="1">
        <w:r w:rsidR="00904E21" w:rsidRPr="009E7F21">
          <w:rPr>
            <w:rStyle w:val="Hyperlink"/>
            <w:noProof/>
          </w:rPr>
          <w:t>Group 2: Technical qualifications enabling entry into occupations at level 2 (‘occupational-entry qualifications’)</w:t>
        </w:r>
        <w:r w:rsidR="00904E21">
          <w:rPr>
            <w:noProof/>
            <w:webHidden/>
          </w:rPr>
          <w:tab/>
        </w:r>
        <w:r w:rsidR="00904E21">
          <w:rPr>
            <w:noProof/>
            <w:webHidden/>
          </w:rPr>
          <w:fldChar w:fldCharType="begin"/>
        </w:r>
        <w:r w:rsidR="00904E21">
          <w:rPr>
            <w:noProof/>
            <w:webHidden/>
          </w:rPr>
          <w:instrText xml:space="preserve"> PAGEREF _Toc99562945 \h </w:instrText>
        </w:r>
        <w:r w:rsidR="00904E21">
          <w:rPr>
            <w:noProof/>
            <w:webHidden/>
          </w:rPr>
        </w:r>
        <w:r w:rsidR="00904E21">
          <w:rPr>
            <w:noProof/>
            <w:webHidden/>
          </w:rPr>
          <w:fldChar w:fldCharType="separate"/>
        </w:r>
        <w:r w:rsidR="00FE2352">
          <w:rPr>
            <w:noProof/>
            <w:webHidden/>
          </w:rPr>
          <w:t>3</w:t>
        </w:r>
        <w:r w:rsidR="00904E21">
          <w:rPr>
            <w:noProof/>
            <w:webHidden/>
          </w:rPr>
          <w:fldChar w:fldCharType="end"/>
        </w:r>
      </w:hyperlink>
    </w:p>
    <w:p w14:paraId="2201EB2D" w14:textId="46DB8921" w:rsidR="00904E21" w:rsidRDefault="00A85F1F">
      <w:pPr>
        <w:pStyle w:val="TOC1"/>
        <w:tabs>
          <w:tab w:val="right" w:leader="dot" w:pos="9742"/>
        </w:tabs>
        <w:rPr>
          <w:rFonts w:eastAsiaTheme="minorEastAsia"/>
          <w:noProof/>
          <w:lang w:eastAsia="en-GB"/>
        </w:rPr>
      </w:pPr>
      <w:hyperlink w:anchor="_Toc99562946" w:history="1">
        <w:r w:rsidR="00904E21" w:rsidRPr="009E7F21">
          <w:rPr>
            <w:rStyle w:val="Hyperlink"/>
            <w:noProof/>
          </w:rPr>
          <w:t>Group 4: Specialist qualifications</w:t>
        </w:r>
        <w:r w:rsidR="00904E21">
          <w:rPr>
            <w:noProof/>
            <w:webHidden/>
          </w:rPr>
          <w:tab/>
        </w:r>
        <w:r w:rsidR="00904E21">
          <w:rPr>
            <w:noProof/>
            <w:webHidden/>
          </w:rPr>
          <w:fldChar w:fldCharType="begin"/>
        </w:r>
        <w:r w:rsidR="00904E21">
          <w:rPr>
            <w:noProof/>
            <w:webHidden/>
          </w:rPr>
          <w:instrText xml:space="preserve"> PAGEREF _Toc99562946 \h </w:instrText>
        </w:r>
        <w:r w:rsidR="00904E21">
          <w:rPr>
            <w:noProof/>
            <w:webHidden/>
          </w:rPr>
        </w:r>
        <w:r w:rsidR="00904E21">
          <w:rPr>
            <w:noProof/>
            <w:webHidden/>
          </w:rPr>
          <w:fldChar w:fldCharType="separate"/>
        </w:r>
        <w:r w:rsidR="00FE2352">
          <w:rPr>
            <w:noProof/>
            <w:webHidden/>
          </w:rPr>
          <w:t>5</w:t>
        </w:r>
        <w:r w:rsidR="00904E21">
          <w:rPr>
            <w:noProof/>
            <w:webHidden/>
          </w:rPr>
          <w:fldChar w:fldCharType="end"/>
        </w:r>
      </w:hyperlink>
    </w:p>
    <w:p w14:paraId="3EA7D5C5" w14:textId="00D33781" w:rsidR="00904E21" w:rsidRDefault="00A85F1F">
      <w:pPr>
        <w:pStyle w:val="TOC1"/>
        <w:tabs>
          <w:tab w:val="right" w:leader="dot" w:pos="9742"/>
        </w:tabs>
        <w:rPr>
          <w:rFonts w:eastAsiaTheme="minorEastAsia"/>
          <w:noProof/>
          <w:lang w:eastAsia="en-GB"/>
        </w:rPr>
      </w:pPr>
      <w:hyperlink w:anchor="_Toc99562947" w:history="1">
        <w:r w:rsidR="00904E21" w:rsidRPr="009E7F21">
          <w:rPr>
            <w:rStyle w:val="Hyperlink"/>
            <w:noProof/>
          </w:rPr>
          <w:t>Group 5: Qualifications supporting cross-sectoral skills</w:t>
        </w:r>
        <w:r w:rsidR="00904E21">
          <w:rPr>
            <w:noProof/>
            <w:webHidden/>
          </w:rPr>
          <w:tab/>
        </w:r>
        <w:r w:rsidR="00904E21">
          <w:rPr>
            <w:noProof/>
            <w:webHidden/>
          </w:rPr>
          <w:fldChar w:fldCharType="begin"/>
        </w:r>
        <w:r w:rsidR="00904E21">
          <w:rPr>
            <w:noProof/>
            <w:webHidden/>
          </w:rPr>
          <w:instrText xml:space="preserve"> PAGEREF _Toc99562947 \h </w:instrText>
        </w:r>
        <w:r w:rsidR="00904E21">
          <w:rPr>
            <w:noProof/>
            <w:webHidden/>
          </w:rPr>
        </w:r>
        <w:r w:rsidR="00904E21">
          <w:rPr>
            <w:noProof/>
            <w:webHidden/>
          </w:rPr>
          <w:fldChar w:fldCharType="separate"/>
        </w:r>
        <w:r w:rsidR="00FE2352">
          <w:rPr>
            <w:noProof/>
            <w:webHidden/>
          </w:rPr>
          <w:t>6</w:t>
        </w:r>
        <w:r w:rsidR="00904E21">
          <w:rPr>
            <w:noProof/>
            <w:webHidden/>
          </w:rPr>
          <w:fldChar w:fldCharType="end"/>
        </w:r>
      </w:hyperlink>
    </w:p>
    <w:p w14:paraId="47C0B7CA" w14:textId="5518F562" w:rsidR="00904E21" w:rsidRDefault="00A85F1F">
      <w:pPr>
        <w:pStyle w:val="TOC1"/>
        <w:tabs>
          <w:tab w:val="right" w:leader="dot" w:pos="9742"/>
        </w:tabs>
        <w:rPr>
          <w:rFonts w:eastAsiaTheme="minorEastAsia"/>
          <w:noProof/>
          <w:lang w:eastAsia="en-GB"/>
        </w:rPr>
      </w:pPr>
      <w:hyperlink w:anchor="_Toc99562948" w:history="1">
        <w:r w:rsidR="00904E21" w:rsidRPr="009E7F21">
          <w:rPr>
            <w:rStyle w:val="Hyperlink"/>
            <w:noProof/>
          </w:rPr>
          <w:t>Group 7: Qualifications supporting progression to level 3 academic study</w:t>
        </w:r>
        <w:r w:rsidR="00904E21">
          <w:rPr>
            <w:noProof/>
            <w:webHidden/>
          </w:rPr>
          <w:tab/>
        </w:r>
        <w:r w:rsidR="00904E21">
          <w:rPr>
            <w:noProof/>
            <w:webHidden/>
          </w:rPr>
          <w:fldChar w:fldCharType="begin"/>
        </w:r>
        <w:r w:rsidR="00904E21">
          <w:rPr>
            <w:noProof/>
            <w:webHidden/>
          </w:rPr>
          <w:instrText xml:space="preserve"> PAGEREF _Toc99562948 \h </w:instrText>
        </w:r>
        <w:r w:rsidR="00904E21">
          <w:rPr>
            <w:noProof/>
            <w:webHidden/>
          </w:rPr>
        </w:r>
        <w:r w:rsidR="00904E21">
          <w:rPr>
            <w:noProof/>
            <w:webHidden/>
          </w:rPr>
          <w:fldChar w:fldCharType="separate"/>
        </w:r>
        <w:r w:rsidR="00FE2352">
          <w:rPr>
            <w:noProof/>
            <w:webHidden/>
          </w:rPr>
          <w:t>7</w:t>
        </w:r>
        <w:r w:rsidR="00904E21">
          <w:rPr>
            <w:noProof/>
            <w:webHidden/>
          </w:rPr>
          <w:fldChar w:fldCharType="end"/>
        </w:r>
      </w:hyperlink>
    </w:p>
    <w:p w14:paraId="47579653" w14:textId="12278BA6" w:rsidR="00904E21" w:rsidRDefault="00A85F1F">
      <w:pPr>
        <w:pStyle w:val="TOC1"/>
        <w:tabs>
          <w:tab w:val="right" w:leader="dot" w:pos="9742"/>
        </w:tabs>
        <w:rPr>
          <w:rFonts w:eastAsiaTheme="minorEastAsia"/>
          <w:noProof/>
          <w:lang w:eastAsia="en-GB"/>
        </w:rPr>
      </w:pPr>
      <w:hyperlink w:anchor="_Toc99562949" w:history="1">
        <w:r w:rsidR="00904E21" w:rsidRPr="009E7F21">
          <w:rPr>
            <w:rStyle w:val="Hyperlink"/>
            <w:noProof/>
          </w:rPr>
          <w:t>Group 9: Level 1 pre-technical qualifications</w:t>
        </w:r>
        <w:r w:rsidR="00904E21">
          <w:rPr>
            <w:noProof/>
            <w:webHidden/>
          </w:rPr>
          <w:tab/>
        </w:r>
        <w:r w:rsidR="00904E21">
          <w:rPr>
            <w:noProof/>
            <w:webHidden/>
          </w:rPr>
          <w:fldChar w:fldCharType="begin"/>
        </w:r>
        <w:r w:rsidR="00904E21">
          <w:rPr>
            <w:noProof/>
            <w:webHidden/>
          </w:rPr>
          <w:instrText xml:space="preserve"> PAGEREF _Toc99562949 \h </w:instrText>
        </w:r>
        <w:r w:rsidR="00904E21">
          <w:rPr>
            <w:noProof/>
            <w:webHidden/>
          </w:rPr>
        </w:r>
        <w:r w:rsidR="00904E21">
          <w:rPr>
            <w:noProof/>
            <w:webHidden/>
          </w:rPr>
          <w:fldChar w:fldCharType="separate"/>
        </w:r>
        <w:r w:rsidR="00FE2352">
          <w:rPr>
            <w:noProof/>
            <w:webHidden/>
          </w:rPr>
          <w:t>8</w:t>
        </w:r>
        <w:r w:rsidR="00904E21">
          <w:rPr>
            <w:noProof/>
            <w:webHidden/>
          </w:rPr>
          <w:fldChar w:fldCharType="end"/>
        </w:r>
      </w:hyperlink>
    </w:p>
    <w:p w14:paraId="062ED51C" w14:textId="359B99D1" w:rsidR="00904E21" w:rsidRDefault="00A85F1F">
      <w:pPr>
        <w:pStyle w:val="TOC1"/>
        <w:tabs>
          <w:tab w:val="right" w:leader="dot" w:pos="9742"/>
        </w:tabs>
        <w:rPr>
          <w:rFonts w:eastAsiaTheme="minorEastAsia"/>
          <w:noProof/>
          <w:lang w:eastAsia="en-GB"/>
        </w:rPr>
      </w:pPr>
      <w:hyperlink w:anchor="_Toc99562950" w:history="1">
        <w:r w:rsidR="00904E21" w:rsidRPr="009E7F21">
          <w:rPr>
            <w:rStyle w:val="Hyperlink"/>
            <w:noProof/>
          </w:rPr>
          <w:t>Group 10: Level 1 qualifications which may serve as a prerequisite to employment</w:t>
        </w:r>
        <w:r w:rsidR="00904E21">
          <w:rPr>
            <w:noProof/>
            <w:webHidden/>
          </w:rPr>
          <w:tab/>
        </w:r>
        <w:r w:rsidR="00904E21">
          <w:rPr>
            <w:noProof/>
            <w:webHidden/>
          </w:rPr>
          <w:fldChar w:fldCharType="begin"/>
        </w:r>
        <w:r w:rsidR="00904E21">
          <w:rPr>
            <w:noProof/>
            <w:webHidden/>
          </w:rPr>
          <w:instrText xml:space="preserve"> PAGEREF _Toc99562950 \h </w:instrText>
        </w:r>
        <w:r w:rsidR="00904E21">
          <w:rPr>
            <w:noProof/>
            <w:webHidden/>
          </w:rPr>
        </w:r>
        <w:r w:rsidR="00904E21">
          <w:rPr>
            <w:noProof/>
            <w:webHidden/>
          </w:rPr>
          <w:fldChar w:fldCharType="separate"/>
        </w:r>
        <w:r w:rsidR="00FE2352">
          <w:rPr>
            <w:noProof/>
            <w:webHidden/>
          </w:rPr>
          <w:t>9</w:t>
        </w:r>
        <w:r w:rsidR="00904E21">
          <w:rPr>
            <w:noProof/>
            <w:webHidden/>
          </w:rPr>
          <w:fldChar w:fldCharType="end"/>
        </w:r>
      </w:hyperlink>
    </w:p>
    <w:p w14:paraId="4DB23650" w14:textId="26871313" w:rsidR="00904E21" w:rsidRDefault="00A85F1F">
      <w:pPr>
        <w:pStyle w:val="TOC1"/>
        <w:tabs>
          <w:tab w:val="right" w:leader="dot" w:pos="9742"/>
        </w:tabs>
        <w:rPr>
          <w:rFonts w:eastAsiaTheme="minorEastAsia"/>
          <w:noProof/>
          <w:lang w:eastAsia="en-GB"/>
        </w:rPr>
      </w:pPr>
      <w:hyperlink w:anchor="_Toc99562951" w:history="1">
        <w:r w:rsidR="00904E21" w:rsidRPr="009E7F21">
          <w:rPr>
            <w:rStyle w:val="Hyperlink"/>
            <w:noProof/>
          </w:rPr>
          <w:t>Group 11: Level 1 qualifications which are complementary to a study programme</w:t>
        </w:r>
        <w:r w:rsidR="00904E21">
          <w:rPr>
            <w:noProof/>
            <w:webHidden/>
          </w:rPr>
          <w:tab/>
        </w:r>
        <w:r w:rsidR="00904E21">
          <w:rPr>
            <w:noProof/>
            <w:webHidden/>
          </w:rPr>
          <w:fldChar w:fldCharType="begin"/>
        </w:r>
        <w:r w:rsidR="00904E21">
          <w:rPr>
            <w:noProof/>
            <w:webHidden/>
          </w:rPr>
          <w:instrText xml:space="preserve"> PAGEREF _Toc99562951 \h </w:instrText>
        </w:r>
        <w:r w:rsidR="00904E21">
          <w:rPr>
            <w:noProof/>
            <w:webHidden/>
          </w:rPr>
        </w:r>
        <w:r w:rsidR="00904E21">
          <w:rPr>
            <w:noProof/>
            <w:webHidden/>
          </w:rPr>
          <w:fldChar w:fldCharType="separate"/>
        </w:r>
        <w:r w:rsidR="00FE2352">
          <w:rPr>
            <w:noProof/>
            <w:webHidden/>
          </w:rPr>
          <w:t>9</w:t>
        </w:r>
        <w:r w:rsidR="00904E21">
          <w:rPr>
            <w:noProof/>
            <w:webHidden/>
          </w:rPr>
          <w:fldChar w:fldCharType="end"/>
        </w:r>
      </w:hyperlink>
    </w:p>
    <w:p w14:paraId="48DA7C2B" w14:textId="694CCBFB" w:rsidR="00904E21" w:rsidRDefault="00A85F1F">
      <w:pPr>
        <w:pStyle w:val="TOC1"/>
        <w:tabs>
          <w:tab w:val="right" w:leader="dot" w:pos="9742"/>
        </w:tabs>
        <w:rPr>
          <w:rFonts w:eastAsiaTheme="minorEastAsia"/>
          <w:noProof/>
          <w:lang w:eastAsia="en-GB"/>
        </w:rPr>
      </w:pPr>
      <w:hyperlink w:anchor="_Toc99562952" w:history="1">
        <w:r w:rsidR="00904E21" w:rsidRPr="009E7F21">
          <w:rPr>
            <w:rStyle w:val="Hyperlink"/>
            <w:noProof/>
          </w:rPr>
          <w:t>Group 14: Entry level pre-technical qualifications</w:t>
        </w:r>
        <w:r w:rsidR="00904E21">
          <w:rPr>
            <w:noProof/>
            <w:webHidden/>
          </w:rPr>
          <w:tab/>
        </w:r>
        <w:r w:rsidR="00904E21">
          <w:rPr>
            <w:noProof/>
            <w:webHidden/>
          </w:rPr>
          <w:fldChar w:fldCharType="begin"/>
        </w:r>
        <w:r w:rsidR="00904E21">
          <w:rPr>
            <w:noProof/>
            <w:webHidden/>
          </w:rPr>
          <w:instrText xml:space="preserve"> PAGEREF _Toc99562952 \h </w:instrText>
        </w:r>
        <w:r w:rsidR="00904E21">
          <w:rPr>
            <w:noProof/>
            <w:webHidden/>
          </w:rPr>
        </w:r>
        <w:r w:rsidR="00904E21">
          <w:rPr>
            <w:noProof/>
            <w:webHidden/>
          </w:rPr>
          <w:fldChar w:fldCharType="separate"/>
        </w:r>
        <w:r w:rsidR="00FE2352">
          <w:rPr>
            <w:noProof/>
            <w:webHidden/>
          </w:rPr>
          <w:t>10</w:t>
        </w:r>
        <w:r w:rsidR="00904E21">
          <w:rPr>
            <w:noProof/>
            <w:webHidden/>
          </w:rPr>
          <w:fldChar w:fldCharType="end"/>
        </w:r>
      </w:hyperlink>
    </w:p>
    <w:p w14:paraId="00DA670D" w14:textId="4F53E90C" w:rsidR="00904E21" w:rsidRDefault="00A85F1F">
      <w:pPr>
        <w:pStyle w:val="TOC1"/>
        <w:tabs>
          <w:tab w:val="right" w:leader="dot" w:pos="9742"/>
        </w:tabs>
        <w:rPr>
          <w:rFonts w:eastAsiaTheme="minorEastAsia"/>
          <w:noProof/>
          <w:lang w:eastAsia="en-GB"/>
        </w:rPr>
      </w:pPr>
      <w:hyperlink w:anchor="_Toc99562953" w:history="1">
        <w:r w:rsidR="00904E21" w:rsidRPr="009E7F21">
          <w:rPr>
            <w:rStyle w:val="Hyperlink"/>
            <w:noProof/>
          </w:rPr>
          <w:t>Group 15: Entry level qualifications which are complementary to a study programme</w:t>
        </w:r>
        <w:r w:rsidR="00904E21">
          <w:rPr>
            <w:noProof/>
            <w:webHidden/>
          </w:rPr>
          <w:tab/>
        </w:r>
        <w:r w:rsidR="00904E21">
          <w:rPr>
            <w:noProof/>
            <w:webHidden/>
          </w:rPr>
          <w:fldChar w:fldCharType="begin"/>
        </w:r>
        <w:r w:rsidR="00904E21">
          <w:rPr>
            <w:noProof/>
            <w:webHidden/>
          </w:rPr>
          <w:instrText xml:space="preserve"> PAGEREF _Toc99562953 \h </w:instrText>
        </w:r>
        <w:r w:rsidR="00904E21">
          <w:rPr>
            <w:noProof/>
            <w:webHidden/>
          </w:rPr>
        </w:r>
        <w:r w:rsidR="00904E21">
          <w:rPr>
            <w:noProof/>
            <w:webHidden/>
          </w:rPr>
          <w:fldChar w:fldCharType="separate"/>
        </w:r>
        <w:r w:rsidR="00FE2352">
          <w:rPr>
            <w:noProof/>
            <w:webHidden/>
          </w:rPr>
          <w:t>10</w:t>
        </w:r>
        <w:r w:rsidR="00904E21">
          <w:rPr>
            <w:noProof/>
            <w:webHidden/>
          </w:rPr>
          <w:fldChar w:fldCharType="end"/>
        </w:r>
      </w:hyperlink>
    </w:p>
    <w:p w14:paraId="55B000A3" w14:textId="30F9FDCB" w:rsidR="00904E21" w:rsidRDefault="00A85F1F">
      <w:pPr>
        <w:pStyle w:val="TOC1"/>
        <w:tabs>
          <w:tab w:val="right" w:leader="dot" w:pos="9742"/>
        </w:tabs>
        <w:rPr>
          <w:rFonts w:eastAsiaTheme="minorEastAsia"/>
          <w:noProof/>
          <w:lang w:eastAsia="en-GB"/>
        </w:rPr>
      </w:pPr>
      <w:hyperlink w:anchor="_Toc99562954" w:history="1">
        <w:r w:rsidR="00904E21" w:rsidRPr="009E7F21">
          <w:rPr>
            <w:rStyle w:val="Hyperlink"/>
            <w:noProof/>
          </w:rPr>
          <w:t>Level 2 qualifications for adults – groups for funding</w:t>
        </w:r>
        <w:r w:rsidR="00904E21">
          <w:rPr>
            <w:noProof/>
            <w:webHidden/>
          </w:rPr>
          <w:tab/>
        </w:r>
        <w:r w:rsidR="00904E21">
          <w:rPr>
            <w:noProof/>
            <w:webHidden/>
          </w:rPr>
          <w:fldChar w:fldCharType="begin"/>
        </w:r>
        <w:r w:rsidR="00904E21">
          <w:rPr>
            <w:noProof/>
            <w:webHidden/>
          </w:rPr>
          <w:instrText xml:space="preserve"> PAGEREF _Toc99562954 \h </w:instrText>
        </w:r>
        <w:r w:rsidR="00904E21">
          <w:rPr>
            <w:noProof/>
            <w:webHidden/>
          </w:rPr>
        </w:r>
        <w:r w:rsidR="00904E21">
          <w:rPr>
            <w:noProof/>
            <w:webHidden/>
          </w:rPr>
          <w:fldChar w:fldCharType="separate"/>
        </w:r>
        <w:r w:rsidR="00FE2352">
          <w:rPr>
            <w:noProof/>
            <w:webHidden/>
          </w:rPr>
          <w:t>11</w:t>
        </w:r>
        <w:r w:rsidR="00904E21">
          <w:rPr>
            <w:noProof/>
            <w:webHidden/>
          </w:rPr>
          <w:fldChar w:fldCharType="end"/>
        </w:r>
      </w:hyperlink>
    </w:p>
    <w:p w14:paraId="5C155FC8" w14:textId="2A8C404C" w:rsidR="00904E21" w:rsidRDefault="00A85F1F">
      <w:pPr>
        <w:pStyle w:val="TOC1"/>
        <w:tabs>
          <w:tab w:val="right" w:leader="dot" w:pos="9742"/>
        </w:tabs>
        <w:rPr>
          <w:rFonts w:eastAsiaTheme="minorEastAsia"/>
          <w:noProof/>
          <w:lang w:eastAsia="en-GB"/>
        </w:rPr>
      </w:pPr>
      <w:hyperlink w:anchor="_Toc99562955" w:history="1">
        <w:r w:rsidR="00904E21" w:rsidRPr="009E7F21">
          <w:rPr>
            <w:rStyle w:val="Hyperlink"/>
            <w:noProof/>
          </w:rPr>
          <w:t>Group 3: Occupational-focus qualifications for adults</w:t>
        </w:r>
        <w:r w:rsidR="00904E21">
          <w:rPr>
            <w:noProof/>
            <w:webHidden/>
          </w:rPr>
          <w:tab/>
        </w:r>
        <w:r w:rsidR="00904E21">
          <w:rPr>
            <w:noProof/>
            <w:webHidden/>
          </w:rPr>
          <w:fldChar w:fldCharType="begin"/>
        </w:r>
        <w:r w:rsidR="00904E21">
          <w:rPr>
            <w:noProof/>
            <w:webHidden/>
          </w:rPr>
          <w:instrText xml:space="preserve"> PAGEREF _Toc99562955 \h </w:instrText>
        </w:r>
        <w:r w:rsidR="00904E21">
          <w:rPr>
            <w:noProof/>
            <w:webHidden/>
          </w:rPr>
        </w:r>
        <w:r w:rsidR="00904E21">
          <w:rPr>
            <w:noProof/>
            <w:webHidden/>
          </w:rPr>
          <w:fldChar w:fldCharType="separate"/>
        </w:r>
        <w:r w:rsidR="00FE2352">
          <w:rPr>
            <w:noProof/>
            <w:webHidden/>
          </w:rPr>
          <w:t>12</w:t>
        </w:r>
        <w:r w:rsidR="00904E21">
          <w:rPr>
            <w:noProof/>
            <w:webHidden/>
          </w:rPr>
          <w:fldChar w:fldCharType="end"/>
        </w:r>
      </w:hyperlink>
    </w:p>
    <w:p w14:paraId="3B08568B" w14:textId="3F7260C9" w:rsidR="00904E21" w:rsidRDefault="00A85F1F">
      <w:pPr>
        <w:pStyle w:val="TOC1"/>
        <w:tabs>
          <w:tab w:val="right" w:leader="dot" w:pos="9742"/>
        </w:tabs>
        <w:rPr>
          <w:rFonts w:eastAsiaTheme="minorEastAsia"/>
          <w:noProof/>
          <w:lang w:eastAsia="en-GB"/>
        </w:rPr>
      </w:pPr>
      <w:hyperlink w:anchor="_Toc99562956" w:history="1">
        <w:r w:rsidR="00904E21" w:rsidRPr="009E7F21">
          <w:rPr>
            <w:rStyle w:val="Hyperlink"/>
            <w:noProof/>
          </w:rPr>
          <w:t>Group 6: Technical qualifications enabling entry into occupations without employer-led occupational standards</w:t>
        </w:r>
        <w:r w:rsidR="00904E21">
          <w:rPr>
            <w:noProof/>
            <w:webHidden/>
          </w:rPr>
          <w:tab/>
        </w:r>
        <w:r w:rsidR="00904E21">
          <w:rPr>
            <w:noProof/>
            <w:webHidden/>
          </w:rPr>
          <w:fldChar w:fldCharType="begin"/>
        </w:r>
        <w:r w:rsidR="00904E21">
          <w:rPr>
            <w:noProof/>
            <w:webHidden/>
          </w:rPr>
          <w:instrText xml:space="preserve"> PAGEREF _Toc99562956 \h </w:instrText>
        </w:r>
        <w:r w:rsidR="00904E21">
          <w:rPr>
            <w:noProof/>
            <w:webHidden/>
          </w:rPr>
        </w:r>
        <w:r w:rsidR="00904E21">
          <w:rPr>
            <w:noProof/>
            <w:webHidden/>
          </w:rPr>
          <w:fldChar w:fldCharType="separate"/>
        </w:r>
        <w:r w:rsidR="00FE2352">
          <w:rPr>
            <w:noProof/>
            <w:webHidden/>
          </w:rPr>
          <w:t>13</w:t>
        </w:r>
        <w:r w:rsidR="00904E21">
          <w:rPr>
            <w:noProof/>
            <w:webHidden/>
          </w:rPr>
          <w:fldChar w:fldCharType="end"/>
        </w:r>
      </w:hyperlink>
    </w:p>
    <w:p w14:paraId="49ECF8FF" w14:textId="3E9A46D3" w:rsidR="00904E21" w:rsidRDefault="00A85F1F">
      <w:pPr>
        <w:pStyle w:val="TOC1"/>
        <w:tabs>
          <w:tab w:val="right" w:leader="dot" w:pos="9742"/>
        </w:tabs>
        <w:rPr>
          <w:rFonts w:eastAsiaTheme="minorEastAsia"/>
          <w:noProof/>
          <w:lang w:eastAsia="en-GB"/>
        </w:rPr>
      </w:pPr>
      <w:hyperlink w:anchor="_Toc99562957" w:history="1">
        <w:r w:rsidR="00904E21" w:rsidRPr="009E7F21">
          <w:rPr>
            <w:rStyle w:val="Hyperlink"/>
            <w:noProof/>
          </w:rPr>
          <w:t>Level 1 qualifications for adults</w:t>
        </w:r>
        <w:r w:rsidR="00904E21">
          <w:rPr>
            <w:noProof/>
            <w:webHidden/>
          </w:rPr>
          <w:tab/>
        </w:r>
        <w:r w:rsidR="00904E21">
          <w:rPr>
            <w:noProof/>
            <w:webHidden/>
          </w:rPr>
          <w:fldChar w:fldCharType="begin"/>
        </w:r>
        <w:r w:rsidR="00904E21">
          <w:rPr>
            <w:noProof/>
            <w:webHidden/>
          </w:rPr>
          <w:instrText xml:space="preserve"> PAGEREF _Toc99562957 \h </w:instrText>
        </w:r>
        <w:r w:rsidR="00904E21">
          <w:rPr>
            <w:noProof/>
            <w:webHidden/>
          </w:rPr>
        </w:r>
        <w:r w:rsidR="00904E21">
          <w:rPr>
            <w:noProof/>
            <w:webHidden/>
          </w:rPr>
          <w:fldChar w:fldCharType="separate"/>
        </w:r>
        <w:r w:rsidR="00FE2352">
          <w:rPr>
            <w:noProof/>
            <w:webHidden/>
          </w:rPr>
          <w:t>14</w:t>
        </w:r>
        <w:r w:rsidR="00904E21">
          <w:rPr>
            <w:noProof/>
            <w:webHidden/>
          </w:rPr>
          <w:fldChar w:fldCharType="end"/>
        </w:r>
      </w:hyperlink>
    </w:p>
    <w:p w14:paraId="23193B0F" w14:textId="597931DE" w:rsidR="00904E21" w:rsidRDefault="00A85F1F">
      <w:pPr>
        <w:pStyle w:val="TOC1"/>
        <w:tabs>
          <w:tab w:val="right" w:leader="dot" w:pos="9742"/>
        </w:tabs>
        <w:rPr>
          <w:rFonts w:eastAsiaTheme="minorEastAsia"/>
          <w:noProof/>
          <w:lang w:eastAsia="en-GB"/>
        </w:rPr>
      </w:pPr>
      <w:hyperlink w:anchor="_Toc99562958" w:history="1">
        <w:r w:rsidR="00904E21" w:rsidRPr="009E7F21">
          <w:rPr>
            <w:rStyle w:val="Hyperlink"/>
            <w:noProof/>
          </w:rPr>
          <w:t>Groups 14 &amp; 15 Entry Level Qualifications for adults</w:t>
        </w:r>
        <w:r w:rsidR="00904E21">
          <w:rPr>
            <w:noProof/>
            <w:webHidden/>
          </w:rPr>
          <w:tab/>
        </w:r>
        <w:r w:rsidR="00904E21">
          <w:rPr>
            <w:noProof/>
            <w:webHidden/>
          </w:rPr>
          <w:fldChar w:fldCharType="begin"/>
        </w:r>
        <w:r w:rsidR="00904E21">
          <w:rPr>
            <w:noProof/>
            <w:webHidden/>
          </w:rPr>
          <w:instrText xml:space="preserve"> PAGEREF _Toc99562958 \h </w:instrText>
        </w:r>
        <w:r w:rsidR="00904E21">
          <w:rPr>
            <w:noProof/>
            <w:webHidden/>
          </w:rPr>
        </w:r>
        <w:r w:rsidR="00904E21">
          <w:rPr>
            <w:noProof/>
            <w:webHidden/>
          </w:rPr>
          <w:fldChar w:fldCharType="separate"/>
        </w:r>
        <w:r w:rsidR="00FE2352">
          <w:rPr>
            <w:noProof/>
            <w:webHidden/>
          </w:rPr>
          <w:t>15</w:t>
        </w:r>
        <w:r w:rsidR="00904E21">
          <w:rPr>
            <w:noProof/>
            <w:webHidden/>
          </w:rPr>
          <w:fldChar w:fldCharType="end"/>
        </w:r>
      </w:hyperlink>
    </w:p>
    <w:p w14:paraId="19FB81EC" w14:textId="1F496250" w:rsidR="00904E21" w:rsidRDefault="00A85F1F">
      <w:pPr>
        <w:pStyle w:val="TOC1"/>
        <w:tabs>
          <w:tab w:val="right" w:leader="dot" w:pos="9742"/>
        </w:tabs>
        <w:rPr>
          <w:rFonts w:eastAsiaTheme="minorEastAsia"/>
          <w:noProof/>
          <w:lang w:eastAsia="en-GB"/>
        </w:rPr>
      </w:pPr>
      <w:hyperlink w:anchor="_Toc99562959" w:history="1">
        <w:r w:rsidR="00904E21" w:rsidRPr="009E7F21">
          <w:rPr>
            <w:rStyle w:val="Hyperlink"/>
            <w:noProof/>
          </w:rPr>
          <w:t>Groups 12 and 16: English and maths qualifications (non FSQ/GCSE)</w:t>
        </w:r>
        <w:r w:rsidR="00904E21">
          <w:rPr>
            <w:noProof/>
            <w:webHidden/>
          </w:rPr>
          <w:tab/>
        </w:r>
        <w:r w:rsidR="00904E21">
          <w:rPr>
            <w:noProof/>
            <w:webHidden/>
          </w:rPr>
          <w:fldChar w:fldCharType="begin"/>
        </w:r>
        <w:r w:rsidR="00904E21">
          <w:rPr>
            <w:noProof/>
            <w:webHidden/>
          </w:rPr>
          <w:instrText xml:space="preserve"> PAGEREF _Toc99562959 \h </w:instrText>
        </w:r>
        <w:r w:rsidR="00904E21">
          <w:rPr>
            <w:noProof/>
            <w:webHidden/>
          </w:rPr>
        </w:r>
        <w:r w:rsidR="00904E21">
          <w:rPr>
            <w:noProof/>
            <w:webHidden/>
          </w:rPr>
          <w:fldChar w:fldCharType="separate"/>
        </w:r>
        <w:r w:rsidR="00FE2352">
          <w:rPr>
            <w:noProof/>
            <w:webHidden/>
          </w:rPr>
          <w:t>15</w:t>
        </w:r>
        <w:r w:rsidR="00904E21">
          <w:rPr>
            <w:noProof/>
            <w:webHidden/>
          </w:rPr>
          <w:fldChar w:fldCharType="end"/>
        </w:r>
      </w:hyperlink>
    </w:p>
    <w:p w14:paraId="60B3FB8C" w14:textId="7ADDAE88" w:rsidR="00904E21" w:rsidRDefault="00A85F1F">
      <w:pPr>
        <w:pStyle w:val="TOC1"/>
        <w:tabs>
          <w:tab w:val="right" w:leader="dot" w:pos="9742"/>
        </w:tabs>
        <w:rPr>
          <w:rFonts w:eastAsiaTheme="minorEastAsia"/>
          <w:noProof/>
          <w:lang w:eastAsia="en-GB"/>
        </w:rPr>
      </w:pPr>
      <w:hyperlink w:anchor="_Toc99562960" w:history="1">
        <w:r w:rsidR="00904E21" w:rsidRPr="009E7F21">
          <w:rPr>
            <w:rStyle w:val="Hyperlink"/>
            <w:noProof/>
          </w:rPr>
          <w:t>Groups 8, 13 and 17: ESOL (English for Speakers of Other Languages) qualifications</w:t>
        </w:r>
        <w:r w:rsidR="00904E21">
          <w:rPr>
            <w:noProof/>
            <w:webHidden/>
          </w:rPr>
          <w:tab/>
        </w:r>
        <w:r w:rsidR="00904E21">
          <w:rPr>
            <w:noProof/>
            <w:webHidden/>
          </w:rPr>
          <w:fldChar w:fldCharType="begin"/>
        </w:r>
        <w:r w:rsidR="00904E21">
          <w:rPr>
            <w:noProof/>
            <w:webHidden/>
          </w:rPr>
          <w:instrText xml:space="preserve"> PAGEREF _Toc99562960 \h </w:instrText>
        </w:r>
        <w:r w:rsidR="00904E21">
          <w:rPr>
            <w:noProof/>
            <w:webHidden/>
          </w:rPr>
        </w:r>
        <w:r w:rsidR="00904E21">
          <w:rPr>
            <w:noProof/>
            <w:webHidden/>
          </w:rPr>
          <w:fldChar w:fldCharType="separate"/>
        </w:r>
        <w:r w:rsidR="00FE2352">
          <w:rPr>
            <w:noProof/>
            <w:webHidden/>
          </w:rPr>
          <w:t>17</w:t>
        </w:r>
        <w:r w:rsidR="00904E21">
          <w:rPr>
            <w:noProof/>
            <w:webHidden/>
          </w:rPr>
          <w:fldChar w:fldCharType="end"/>
        </w:r>
      </w:hyperlink>
    </w:p>
    <w:p w14:paraId="73C60844" w14:textId="5E142EA8" w:rsidR="00904E21" w:rsidRDefault="00A85F1F">
      <w:pPr>
        <w:pStyle w:val="TOC1"/>
        <w:tabs>
          <w:tab w:val="right" w:leader="dot" w:pos="9742"/>
        </w:tabs>
        <w:rPr>
          <w:rFonts w:eastAsiaTheme="minorEastAsia"/>
          <w:noProof/>
          <w:lang w:eastAsia="en-GB"/>
        </w:rPr>
      </w:pPr>
      <w:hyperlink w:anchor="_Toc99562961" w:history="1">
        <w:r w:rsidR="00904E21" w:rsidRPr="009E7F21">
          <w:rPr>
            <w:rStyle w:val="Hyperlink"/>
            <w:noProof/>
          </w:rPr>
          <w:t>Personal, Social and Employability (PSE) qualifications</w:t>
        </w:r>
        <w:r w:rsidR="00904E21">
          <w:rPr>
            <w:noProof/>
            <w:webHidden/>
          </w:rPr>
          <w:tab/>
        </w:r>
        <w:r w:rsidR="00904E21">
          <w:rPr>
            <w:noProof/>
            <w:webHidden/>
          </w:rPr>
          <w:fldChar w:fldCharType="begin"/>
        </w:r>
        <w:r w:rsidR="00904E21">
          <w:rPr>
            <w:noProof/>
            <w:webHidden/>
          </w:rPr>
          <w:instrText xml:space="preserve"> PAGEREF _Toc99562961 \h </w:instrText>
        </w:r>
        <w:r w:rsidR="00904E21">
          <w:rPr>
            <w:noProof/>
            <w:webHidden/>
          </w:rPr>
        </w:r>
        <w:r w:rsidR="00904E21">
          <w:rPr>
            <w:noProof/>
            <w:webHidden/>
          </w:rPr>
          <w:fldChar w:fldCharType="separate"/>
        </w:r>
        <w:r w:rsidR="00FE2352">
          <w:rPr>
            <w:noProof/>
            <w:webHidden/>
          </w:rPr>
          <w:t>18</w:t>
        </w:r>
        <w:r w:rsidR="00904E21">
          <w:rPr>
            <w:noProof/>
            <w:webHidden/>
          </w:rPr>
          <w:fldChar w:fldCharType="end"/>
        </w:r>
      </w:hyperlink>
    </w:p>
    <w:p w14:paraId="0F3813D0" w14:textId="3485139B" w:rsidR="00904E21" w:rsidRDefault="00A85F1F">
      <w:pPr>
        <w:pStyle w:val="TOC1"/>
        <w:tabs>
          <w:tab w:val="right" w:leader="dot" w:pos="9742"/>
        </w:tabs>
        <w:rPr>
          <w:rFonts w:eastAsiaTheme="minorEastAsia"/>
          <w:noProof/>
          <w:lang w:eastAsia="en-GB"/>
        </w:rPr>
      </w:pPr>
      <w:hyperlink w:anchor="_Toc99562962" w:history="1">
        <w:r w:rsidR="00904E21" w:rsidRPr="009E7F21">
          <w:rPr>
            <w:rStyle w:val="Hyperlink"/>
            <w:noProof/>
          </w:rPr>
          <w:t>Implementing reform</w:t>
        </w:r>
        <w:r w:rsidR="00904E21">
          <w:rPr>
            <w:noProof/>
            <w:webHidden/>
          </w:rPr>
          <w:tab/>
        </w:r>
        <w:r w:rsidR="00904E21">
          <w:rPr>
            <w:noProof/>
            <w:webHidden/>
          </w:rPr>
          <w:fldChar w:fldCharType="begin"/>
        </w:r>
        <w:r w:rsidR="00904E21">
          <w:rPr>
            <w:noProof/>
            <w:webHidden/>
          </w:rPr>
          <w:instrText xml:space="preserve"> PAGEREF _Toc99562962 \h </w:instrText>
        </w:r>
        <w:r w:rsidR="00904E21">
          <w:rPr>
            <w:noProof/>
            <w:webHidden/>
          </w:rPr>
        </w:r>
        <w:r w:rsidR="00904E21">
          <w:rPr>
            <w:noProof/>
            <w:webHidden/>
          </w:rPr>
          <w:fldChar w:fldCharType="separate"/>
        </w:r>
        <w:r w:rsidR="00FE2352">
          <w:rPr>
            <w:noProof/>
            <w:webHidden/>
          </w:rPr>
          <w:t>19</w:t>
        </w:r>
        <w:r w:rsidR="00904E21">
          <w:rPr>
            <w:noProof/>
            <w:webHidden/>
          </w:rPr>
          <w:fldChar w:fldCharType="end"/>
        </w:r>
      </w:hyperlink>
    </w:p>
    <w:p w14:paraId="755CD6D2" w14:textId="77A93501" w:rsidR="00904E21" w:rsidRDefault="00A85F1F">
      <w:pPr>
        <w:pStyle w:val="TOC1"/>
        <w:tabs>
          <w:tab w:val="right" w:leader="dot" w:pos="9742"/>
        </w:tabs>
        <w:rPr>
          <w:rFonts w:eastAsiaTheme="minorEastAsia"/>
          <w:noProof/>
          <w:lang w:eastAsia="en-GB"/>
        </w:rPr>
      </w:pPr>
      <w:hyperlink w:anchor="_Toc99562963" w:history="1">
        <w:r w:rsidR="00904E21" w:rsidRPr="009E7F21">
          <w:rPr>
            <w:rStyle w:val="Hyperlink"/>
            <w:noProof/>
          </w:rPr>
          <w:t>General and equalities impact assessments</w:t>
        </w:r>
        <w:r w:rsidR="00904E21">
          <w:rPr>
            <w:noProof/>
            <w:webHidden/>
          </w:rPr>
          <w:tab/>
        </w:r>
        <w:r w:rsidR="00904E21">
          <w:rPr>
            <w:noProof/>
            <w:webHidden/>
          </w:rPr>
          <w:fldChar w:fldCharType="begin"/>
        </w:r>
        <w:r w:rsidR="00904E21">
          <w:rPr>
            <w:noProof/>
            <w:webHidden/>
          </w:rPr>
          <w:instrText xml:space="preserve"> PAGEREF _Toc99562963 \h </w:instrText>
        </w:r>
        <w:r w:rsidR="00904E21">
          <w:rPr>
            <w:noProof/>
            <w:webHidden/>
          </w:rPr>
        </w:r>
        <w:r w:rsidR="00904E21">
          <w:rPr>
            <w:noProof/>
            <w:webHidden/>
          </w:rPr>
          <w:fldChar w:fldCharType="separate"/>
        </w:r>
        <w:r w:rsidR="00FE2352">
          <w:rPr>
            <w:noProof/>
            <w:webHidden/>
          </w:rPr>
          <w:t>20</w:t>
        </w:r>
        <w:r w:rsidR="00904E21">
          <w:rPr>
            <w:noProof/>
            <w:webHidden/>
          </w:rPr>
          <w:fldChar w:fldCharType="end"/>
        </w:r>
      </w:hyperlink>
    </w:p>
    <w:p w14:paraId="335A2E73" w14:textId="05AA2257" w:rsidR="0096468A" w:rsidRDefault="00653966" w:rsidP="0096468A">
      <w:pPr>
        <w:rPr>
          <w:rFonts w:ascii="Tahoma" w:hAnsi="Tahoma" w:cs="Tahoma"/>
          <w:b/>
          <w:bCs/>
          <w:sz w:val="23"/>
          <w:szCs w:val="23"/>
        </w:rPr>
      </w:pPr>
      <w:r>
        <w:rPr>
          <w:rFonts w:ascii="Tahoma" w:hAnsi="Tahoma" w:cs="Tahoma"/>
          <w:b/>
          <w:bCs/>
          <w:sz w:val="23"/>
          <w:szCs w:val="23"/>
        </w:rPr>
        <w:fldChar w:fldCharType="end"/>
      </w:r>
    </w:p>
    <w:p w14:paraId="721455B8" w14:textId="4A6DB9A4" w:rsidR="00490E30" w:rsidRPr="000365FE" w:rsidRDefault="00710ABF" w:rsidP="000365FE">
      <w:pPr>
        <w:pStyle w:val="Heading1"/>
      </w:pPr>
      <w:bookmarkStart w:id="1" w:name="_Toc99562944"/>
      <w:r w:rsidRPr="000365FE">
        <w:t>Group 1: Qualifications supporting progression to level 3 technical study</w:t>
      </w:r>
      <w:bookmarkEnd w:id="1"/>
      <w:r w:rsidRPr="000365FE">
        <w:t xml:space="preserve"> </w:t>
      </w:r>
    </w:p>
    <w:p w14:paraId="45CAA961" w14:textId="5C8FDBA0" w:rsidR="00710ABF" w:rsidRPr="00E834ED" w:rsidRDefault="00710AB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These must: </w:t>
      </w:r>
    </w:p>
    <w:p w14:paraId="06D1F65B" w14:textId="5829B34B" w:rsidR="00710ABF" w:rsidRPr="00E834ED" w:rsidRDefault="00710ABF" w:rsidP="00F6266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Provide students with broad content relevant to a particular technical education route and prepare them for progression to a level 3 technical qualification in that route (</w:t>
      </w:r>
      <w:proofErr w:type="gramStart"/>
      <w:r w:rsidRPr="00E834ED">
        <w:rPr>
          <w:rFonts w:ascii="Tahoma" w:hAnsi="Tahoma" w:cs="Tahoma"/>
          <w:sz w:val="23"/>
          <w:szCs w:val="23"/>
        </w:rPr>
        <w:t>e.g.</w:t>
      </w:r>
      <w:proofErr w:type="gramEnd"/>
      <w:r w:rsidRPr="00E834ED">
        <w:rPr>
          <w:rFonts w:ascii="Tahoma" w:hAnsi="Tahoma" w:cs="Tahoma"/>
          <w:sz w:val="23"/>
          <w:szCs w:val="23"/>
        </w:rPr>
        <w:t xml:space="preserve"> T Level).</w:t>
      </w:r>
    </w:p>
    <w:p w14:paraId="3FE4AE64" w14:textId="5C456957" w:rsidR="00710ABF" w:rsidRPr="00E834ED" w:rsidRDefault="00710ABF" w:rsidP="00F6266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Be small to medium in size, less than half the size of a 16 to 19 study programme, with a guideline size of 120-240 GLH</w:t>
      </w:r>
    </w:p>
    <w:p w14:paraId="4303080C" w14:textId="3CB4A852" w:rsidR="00710ABF" w:rsidRPr="00E834ED" w:rsidRDefault="00710ABF" w:rsidP="00F6266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Be available to both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w:t>
      </w:r>
    </w:p>
    <w:p w14:paraId="66588667" w14:textId="77777777" w:rsidR="00710ABF" w:rsidRPr="00E834ED" w:rsidRDefault="00710AB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25A50711" w14:textId="6D2919A6" w:rsidR="00710ABF" w:rsidRPr="00E834ED" w:rsidRDefault="00710AB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A small qualification in business administration, providing an overview of the management and administration route and relevant technical knowledge and skills for students looking to progress onto the management and administration T Level route.</w:t>
      </w:r>
    </w:p>
    <w:p w14:paraId="544811FD" w14:textId="6AE2EF85" w:rsidR="00710ABF" w:rsidRDefault="002F2BBB"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Studied over one year, might be linked to the T Level Transition Programme (TTP), broad based</w:t>
      </w:r>
    </w:p>
    <w:p w14:paraId="1F0BC1E5" w14:textId="4FB9EF6D" w:rsidR="00A958C3" w:rsidRPr="00E834ED" w:rsidRDefault="00A958C3"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lastRenderedPageBreak/>
        <w:t xml:space="preserve">Comment: These could be qualifications that help learners decide what they want to do.  It would probably need to be more focused than the whole </w:t>
      </w:r>
      <w:proofErr w:type="gramStart"/>
      <w:r>
        <w:rPr>
          <w:rFonts w:ascii="Tahoma" w:hAnsi="Tahoma" w:cs="Tahoma"/>
          <w:sz w:val="23"/>
          <w:szCs w:val="23"/>
        </w:rPr>
        <w:t>route, but</w:t>
      </w:r>
      <w:proofErr w:type="gramEnd"/>
      <w:r>
        <w:rPr>
          <w:rFonts w:ascii="Tahoma" w:hAnsi="Tahoma" w:cs="Tahoma"/>
          <w:sz w:val="23"/>
          <w:szCs w:val="23"/>
        </w:rPr>
        <w:t xml:space="preserve"> might help them decide alternatively what apprenticeship they might be able to do if they think a bit more broadly.  </w:t>
      </w:r>
    </w:p>
    <w:p w14:paraId="5767B137" w14:textId="77777777" w:rsidR="00F6266E" w:rsidRPr="00E834ED" w:rsidRDefault="00F6266E" w:rsidP="00F6266E">
      <w:pPr>
        <w:rPr>
          <w:rFonts w:ascii="Tahoma" w:hAnsi="Tahoma" w:cs="Tahoma"/>
          <w:i/>
          <w:iCs/>
          <w:sz w:val="23"/>
          <w:szCs w:val="23"/>
        </w:rPr>
      </w:pPr>
      <w:r w:rsidRPr="00E834ED">
        <w:rPr>
          <w:rFonts w:ascii="Tahoma" w:hAnsi="Tahoma" w:cs="Tahoma"/>
          <w:i/>
          <w:iCs/>
          <w:sz w:val="23"/>
          <w:szCs w:val="23"/>
        </w:rPr>
        <w:t>6. Do you agree that we should fund qualifications that support progression to level 3 technical provision?</w:t>
      </w:r>
    </w:p>
    <w:p w14:paraId="4006621F" w14:textId="77777777" w:rsidR="00F6266E" w:rsidRPr="00E834ED" w:rsidRDefault="00F6266E" w:rsidP="00F6266E">
      <w:pPr>
        <w:rPr>
          <w:rFonts w:ascii="Tahoma" w:hAnsi="Tahoma" w:cs="Tahoma"/>
          <w:sz w:val="23"/>
          <w:szCs w:val="23"/>
        </w:rPr>
      </w:pPr>
      <w:r w:rsidRPr="00E834ED">
        <w:rPr>
          <w:rFonts w:ascii="Tahoma" w:hAnsi="Tahoma" w:cs="Tahoma"/>
          <w:sz w:val="23"/>
          <w:szCs w:val="23"/>
        </w:rPr>
        <w:t>Yes</w:t>
      </w:r>
    </w:p>
    <w:p w14:paraId="4FEF229E" w14:textId="77777777" w:rsidR="00F6266E" w:rsidRPr="00E834ED" w:rsidRDefault="00F6266E" w:rsidP="00F6266E">
      <w:pPr>
        <w:rPr>
          <w:rFonts w:ascii="Tahoma" w:hAnsi="Tahoma" w:cs="Tahoma"/>
          <w:i/>
          <w:iCs/>
          <w:sz w:val="23"/>
          <w:szCs w:val="23"/>
        </w:rPr>
      </w:pPr>
      <w:r w:rsidRPr="00E834ED">
        <w:rPr>
          <w:rFonts w:ascii="Tahoma" w:hAnsi="Tahoma" w:cs="Tahoma"/>
          <w:i/>
          <w:iCs/>
          <w:sz w:val="23"/>
          <w:szCs w:val="23"/>
        </w:rPr>
        <w:t xml:space="preserve">Do you agree that qualifications in this group should be small to medium sized, with a guideline size of 120-240 GLH?   </w:t>
      </w:r>
    </w:p>
    <w:p w14:paraId="0F6BFC68" w14:textId="51B8F557" w:rsidR="00F6266E" w:rsidRPr="00E834ED" w:rsidRDefault="00F6266E" w:rsidP="00F6266E">
      <w:pPr>
        <w:rPr>
          <w:rFonts w:ascii="Tahoma" w:hAnsi="Tahoma" w:cs="Tahoma"/>
          <w:sz w:val="23"/>
          <w:szCs w:val="23"/>
        </w:rPr>
      </w:pPr>
      <w:r w:rsidRPr="00E834ED">
        <w:rPr>
          <w:rFonts w:ascii="Tahoma" w:hAnsi="Tahoma" w:cs="Tahoma"/>
          <w:sz w:val="23"/>
          <w:szCs w:val="23"/>
        </w:rPr>
        <w:t>Yes</w:t>
      </w:r>
    </w:p>
    <w:p w14:paraId="7FAC1AC9" w14:textId="77777777" w:rsidR="00F6266E" w:rsidRPr="00E834ED" w:rsidRDefault="00F6266E" w:rsidP="00F6266E">
      <w:pPr>
        <w:rPr>
          <w:rFonts w:ascii="Tahoma" w:hAnsi="Tahoma" w:cs="Tahoma"/>
          <w:i/>
          <w:iCs/>
          <w:sz w:val="23"/>
          <w:szCs w:val="23"/>
        </w:rPr>
      </w:pPr>
      <w:r w:rsidRPr="00E834ED">
        <w:rPr>
          <w:rFonts w:ascii="Tahoma" w:hAnsi="Tahoma" w:cs="Tahoma"/>
          <w:i/>
          <w:iCs/>
          <w:sz w:val="23"/>
          <w:szCs w:val="23"/>
        </w:rPr>
        <w:t>Please give reasons for your answers</w:t>
      </w:r>
    </w:p>
    <w:p w14:paraId="3FA8EA37" w14:textId="43786F0E" w:rsidR="00E834ED" w:rsidRPr="00E834ED" w:rsidRDefault="00A958C3" w:rsidP="00E834ED">
      <w:pPr>
        <w:rPr>
          <w:rFonts w:ascii="Tahoma" w:hAnsi="Tahoma" w:cs="Tahoma"/>
          <w:sz w:val="23"/>
          <w:szCs w:val="23"/>
        </w:rPr>
      </w:pPr>
      <w:r>
        <w:rPr>
          <w:rFonts w:ascii="Tahoma" w:hAnsi="Tahoma" w:cs="Tahoma"/>
          <w:sz w:val="23"/>
          <w:szCs w:val="23"/>
        </w:rPr>
        <w:t xml:space="preserve">There is </w:t>
      </w:r>
      <w:r w:rsidR="009240CC">
        <w:rPr>
          <w:rFonts w:ascii="Tahoma" w:hAnsi="Tahoma" w:cs="Tahoma"/>
          <w:sz w:val="23"/>
          <w:szCs w:val="23"/>
        </w:rPr>
        <w:t xml:space="preserve">a </w:t>
      </w:r>
      <w:r>
        <w:rPr>
          <w:rFonts w:ascii="Tahoma" w:hAnsi="Tahoma" w:cs="Tahoma"/>
          <w:sz w:val="23"/>
          <w:szCs w:val="23"/>
        </w:rPr>
        <w:t xml:space="preserve">need to help learners who are not sure what specialism to follow </w:t>
      </w:r>
      <w:r w:rsidR="005D5B38">
        <w:rPr>
          <w:rFonts w:ascii="Tahoma" w:hAnsi="Tahoma" w:cs="Tahoma"/>
          <w:sz w:val="23"/>
          <w:szCs w:val="23"/>
        </w:rPr>
        <w:t>gain some skills and learn about what their options might be</w:t>
      </w:r>
      <w:r w:rsidR="00637E35">
        <w:rPr>
          <w:rFonts w:ascii="Tahoma" w:hAnsi="Tahoma" w:cs="Tahoma"/>
          <w:sz w:val="23"/>
          <w:szCs w:val="23"/>
        </w:rPr>
        <w:t xml:space="preserve"> before going on to more specialised further learning</w:t>
      </w:r>
      <w:r w:rsidR="005D5B38">
        <w:rPr>
          <w:rFonts w:ascii="Tahoma" w:hAnsi="Tahoma" w:cs="Tahoma"/>
          <w:sz w:val="23"/>
          <w:szCs w:val="23"/>
        </w:rPr>
        <w:t xml:space="preserve">.  </w:t>
      </w:r>
      <w:r w:rsidR="00637E35">
        <w:rPr>
          <w:rFonts w:ascii="Tahoma" w:hAnsi="Tahoma" w:cs="Tahoma"/>
          <w:sz w:val="23"/>
          <w:szCs w:val="23"/>
        </w:rPr>
        <w:t xml:space="preserve">This should not just be for those going on to T Levels but also </w:t>
      </w:r>
      <w:r w:rsidR="005D5B38">
        <w:rPr>
          <w:rFonts w:ascii="Tahoma" w:hAnsi="Tahoma" w:cs="Tahoma"/>
          <w:sz w:val="23"/>
          <w:szCs w:val="23"/>
        </w:rPr>
        <w:t>apprenticeship</w:t>
      </w:r>
      <w:r w:rsidR="00637E35">
        <w:rPr>
          <w:rFonts w:ascii="Tahoma" w:hAnsi="Tahoma" w:cs="Tahoma"/>
          <w:sz w:val="23"/>
          <w:szCs w:val="23"/>
        </w:rPr>
        <w:t>s</w:t>
      </w:r>
      <w:r w:rsidR="005D5B38">
        <w:rPr>
          <w:rFonts w:ascii="Tahoma" w:hAnsi="Tahoma" w:cs="Tahoma"/>
          <w:sz w:val="23"/>
          <w:szCs w:val="23"/>
        </w:rPr>
        <w:t xml:space="preserve"> as these tend to be very specialised</w:t>
      </w:r>
      <w:r w:rsidR="00B850D3">
        <w:rPr>
          <w:rFonts w:ascii="Tahoma" w:hAnsi="Tahoma" w:cs="Tahoma"/>
          <w:sz w:val="23"/>
          <w:szCs w:val="23"/>
        </w:rPr>
        <w:t xml:space="preserve"> and this should not prevent them being funded for a full level 2 apprenticeship</w:t>
      </w:r>
      <w:r w:rsidR="005D5B38">
        <w:rPr>
          <w:rFonts w:ascii="Tahoma" w:hAnsi="Tahoma" w:cs="Tahoma"/>
          <w:sz w:val="23"/>
          <w:szCs w:val="23"/>
        </w:rPr>
        <w:t xml:space="preserve">.  If these </w:t>
      </w:r>
      <w:r w:rsidR="00B74C7D">
        <w:rPr>
          <w:rFonts w:ascii="Tahoma" w:hAnsi="Tahoma" w:cs="Tahoma"/>
          <w:sz w:val="23"/>
          <w:szCs w:val="23"/>
        </w:rPr>
        <w:t xml:space="preserve">qualifications cover the whole route, </w:t>
      </w:r>
      <w:r w:rsidR="005D5B38">
        <w:rPr>
          <w:rFonts w:ascii="Tahoma" w:hAnsi="Tahoma" w:cs="Tahoma"/>
          <w:sz w:val="23"/>
          <w:szCs w:val="23"/>
        </w:rPr>
        <w:t xml:space="preserve">this will be a challenge for </w:t>
      </w:r>
      <w:r w:rsidR="00B74C7D">
        <w:rPr>
          <w:rFonts w:ascii="Tahoma" w:hAnsi="Tahoma" w:cs="Tahoma"/>
          <w:sz w:val="23"/>
          <w:szCs w:val="23"/>
        </w:rPr>
        <w:t xml:space="preserve">broad routes such as agriculture, </w:t>
      </w:r>
      <w:proofErr w:type="gramStart"/>
      <w:r w:rsidR="00B74C7D">
        <w:rPr>
          <w:rFonts w:ascii="Tahoma" w:hAnsi="Tahoma" w:cs="Tahoma"/>
          <w:sz w:val="23"/>
          <w:szCs w:val="23"/>
        </w:rPr>
        <w:t>environment</w:t>
      </w:r>
      <w:proofErr w:type="gramEnd"/>
      <w:r w:rsidR="00B74C7D">
        <w:rPr>
          <w:rFonts w:ascii="Tahoma" w:hAnsi="Tahoma" w:cs="Tahoma"/>
          <w:sz w:val="23"/>
          <w:szCs w:val="23"/>
        </w:rPr>
        <w:t xml:space="preserve"> and animal care.  Most learners will know if they are interested in growing, machinery</w:t>
      </w:r>
      <w:r w:rsidR="005D5B38">
        <w:rPr>
          <w:rFonts w:ascii="Tahoma" w:hAnsi="Tahoma" w:cs="Tahoma"/>
          <w:sz w:val="23"/>
          <w:szCs w:val="23"/>
        </w:rPr>
        <w:t xml:space="preserve"> or animals</w:t>
      </w:r>
      <w:r w:rsidR="00B74C7D">
        <w:rPr>
          <w:rFonts w:ascii="Tahoma" w:hAnsi="Tahoma" w:cs="Tahoma"/>
          <w:sz w:val="23"/>
          <w:szCs w:val="23"/>
        </w:rPr>
        <w:t xml:space="preserve">. </w:t>
      </w:r>
      <w:r w:rsidR="005D5B38">
        <w:rPr>
          <w:rFonts w:ascii="Tahoma" w:hAnsi="Tahoma" w:cs="Tahoma"/>
          <w:sz w:val="23"/>
          <w:szCs w:val="23"/>
        </w:rPr>
        <w:t xml:space="preserve">In </w:t>
      </w:r>
      <w:r w:rsidR="00637E35">
        <w:rPr>
          <w:rFonts w:ascii="Tahoma" w:hAnsi="Tahoma" w:cs="Tahoma"/>
          <w:sz w:val="23"/>
          <w:szCs w:val="23"/>
        </w:rPr>
        <w:t>addition,</w:t>
      </w:r>
      <w:r w:rsidR="005D5B38">
        <w:rPr>
          <w:rFonts w:ascii="Tahoma" w:hAnsi="Tahoma" w:cs="Tahoma"/>
          <w:sz w:val="23"/>
          <w:szCs w:val="23"/>
        </w:rPr>
        <w:t xml:space="preserve"> there is no technical core content between </w:t>
      </w:r>
      <w:r w:rsidR="00637E35">
        <w:rPr>
          <w:rFonts w:ascii="Tahoma" w:hAnsi="Tahoma" w:cs="Tahoma"/>
          <w:sz w:val="23"/>
          <w:szCs w:val="23"/>
        </w:rPr>
        <w:t>several pathways in this route</w:t>
      </w:r>
      <w:r w:rsidR="005D5B38">
        <w:rPr>
          <w:rFonts w:ascii="Tahoma" w:hAnsi="Tahoma" w:cs="Tahoma"/>
          <w:sz w:val="23"/>
          <w:szCs w:val="23"/>
        </w:rPr>
        <w:t xml:space="preserve">, leaving generic topics such as health and safety, </w:t>
      </w:r>
      <w:proofErr w:type="gramStart"/>
      <w:r w:rsidR="005D5B38">
        <w:rPr>
          <w:rFonts w:ascii="Tahoma" w:hAnsi="Tahoma" w:cs="Tahoma"/>
          <w:sz w:val="23"/>
          <w:szCs w:val="23"/>
        </w:rPr>
        <w:t>sustainability</w:t>
      </w:r>
      <w:proofErr w:type="gramEnd"/>
      <w:r w:rsidR="005D5B38">
        <w:rPr>
          <w:rFonts w:ascii="Tahoma" w:hAnsi="Tahoma" w:cs="Tahoma"/>
          <w:sz w:val="23"/>
          <w:szCs w:val="23"/>
        </w:rPr>
        <w:t xml:space="preserve"> and business skills.  This makes for a very dry programme that most learners will not engage well with, will cover content they are not interested in and be too broad to be useful.  </w:t>
      </w:r>
      <w:r w:rsidR="00B74C7D">
        <w:rPr>
          <w:rFonts w:ascii="Tahoma" w:hAnsi="Tahoma" w:cs="Tahoma"/>
          <w:sz w:val="23"/>
          <w:szCs w:val="23"/>
        </w:rPr>
        <w:t xml:space="preserve"> Grouping occupations into logical </w:t>
      </w:r>
      <w:r w:rsidR="005D5B38">
        <w:rPr>
          <w:rFonts w:ascii="Tahoma" w:hAnsi="Tahoma" w:cs="Tahoma"/>
          <w:sz w:val="23"/>
          <w:szCs w:val="23"/>
        </w:rPr>
        <w:t xml:space="preserve">sections </w:t>
      </w:r>
      <w:r w:rsidR="00B74C7D">
        <w:rPr>
          <w:rFonts w:ascii="Tahoma" w:hAnsi="Tahoma" w:cs="Tahoma"/>
          <w:sz w:val="23"/>
          <w:szCs w:val="23"/>
        </w:rPr>
        <w:t>will mean that lea</w:t>
      </w:r>
      <w:r w:rsidR="003119ED">
        <w:rPr>
          <w:rFonts w:ascii="Tahoma" w:hAnsi="Tahoma" w:cs="Tahoma"/>
          <w:sz w:val="23"/>
          <w:szCs w:val="23"/>
        </w:rPr>
        <w:t>r</w:t>
      </w:r>
      <w:r w:rsidR="00B74C7D">
        <w:rPr>
          <w:rFonts w:ascii="Tahoma" w:hAnsi="Tahoma" w:cs="Tahoma"/>
          <w:sz w:val="23"/>
          <w:szCs w:val="23"/>
        </w:rPr>
        <w:t>ners are not being taught about sub sectors they have no interest in</w:t>
      </w:r>
      <w:r w:rsidR="00637E35">
        <w:rPr>
          <w:rFonts w:ascii="Tahoma" w:hAnsi="Tahoma" w:cs="Tahoma"/>
          <w:sz w:val="23"/>
          <w:szCs w:val="23"/>
        </w:rPr>
        <w:t xml:space="preserve"> and enable meaningful transferrable skills to be taught</w:t>
      </w:r>
      <w:r w:rsidR="00B74C7D">
        <w:rPr>
          <w:rFonts w:ascii="Tahoma" w:hAnsi="Tahoma" w:cs="Tahoma"/>
          <w:sz w:val="23"/>
          <w:szCs w:val="23"/>
        </w:rPr>
        <w:t xml:space="preserve">.  </w:t>
      </w:r>
      <w:r w:rsidR="005D5B38">
        <w:rPr>
          <w:rFonts w:ascii="Tahoma" w:hAnsi="Tahoma" w:cs="Tahoma"/>
          <w:sz w:val="23"/>
          <w:szCs w:val="23"/>
        </w:rPr>
        <w:t xml:space="preserve">There are already </w:t>
      </w:r>
      <w:r w:rsidR="00B74C7D">
        <w:rPr>
          <w:rFonts w:ascii="Tahoma" w:hAnsi="Tahoma" w:cs="Tahoma"/>
          <w:sz w:val="23"/>
          <w:szCs w:val="23"/>
        </w:rPr>
        <w:t xml:space="preserve">level 2 qualifications </w:t>
      </w:r>
      <w:r w:rsidR="00DF7100">
        <w:rPr>
          <w:rFonts w:ascii="Tahoma" w:hAnsi="Tahoma" w:cs="Tahoma"/>
          <w:sz w:val="23"/>
          <w:szCs w:val="23"/>
        </w:rPr>
        <w:t xml:space="preserve">that provide entry to other training and an introduction to sectors </w:t>
      </w:r>
      <w:r w:rsidR="00E834ED" w:rsidRPr="00E834ED">
        <w:rPr>
          <w:rFonts w:ascii="Tahoma" w:hAnsi="Tahoma" w:cs="Tahoma"/>
          <w:sz w:val="23"/>
          <w:szCs w:val="23"/>
        </w:rPr>
        <w:t>such as: City &amp; Guilds Level 2 Certificate in Forestry and Arboriculture</w:t>
      </w:r>
      <w:r w:rsidR="00887EA0">
        <w:rPr>
          <w:rFonts w:ascii="Tahoma" w:hAnsi="Tahoma" w:cs="Tahoma"/>
          <w:sz w:val="23"/>
          <w:szCs w:val="23"/>
        </w:rPr>
        <w:t xml:space="preserve">, </w:t>
      </w:r>
      <w:r w:rsidR="00887EA0" w:rsidRPr="00887EA0">
        <w:rPr>
          <w:rFonts w:ascii="Tahoma" w:hAnsi="Tahoma" w:cs="Tahoma"/>
          <w:sz w:val="23"/>
          <w:szCs w:val="23"/>
        </w:rPr>
        <w:t>SEG Awards Level 2 Award in Practical Environmental and Conservation Skills (85 GLH) and Level 2 Award in Practical Horticulture Skills (75 GLH)</w:t>
      </w:r>
      <w:r w:rsidR="00637E35">
        <w:rPr>
          <w:rFonts w:ascii="Tahoma" w:hAnsi="Tahoma" w:cs="Tahoma"/>
          <w:sz w:val="23"/>
          <w:szCs w:val="23"/>
        </w:rPr>
        <w:t xml:space="preserve">.  These </w:t>
      </w:r>
      <w:r w:rsidR="00E834ED" w:rsidRPr="00E834ED">
        <w:rPr>
          <w:rFonts w:ascii="Tahoma" w:hAnsi="Tahoma" w:cs="Tahoma"/>
          <w:sz w:val="23"/>
          <w:szCs w:val="23"/>
        </w:rPr>
        <w:t xml:space="preserve">are smaller – </w:t>
      </w:r>
      <w:r w:rsidR="00637E35">
        <w:rPr>
          <w:rFonts w:ascii="Tahoma" w:hAnsi="Tahoma" w:cs="Tahoma"/>
          <w:sz w:val="23"/>
          <w:szCs w:val="23"/>
        </w:rPr>
        <w:t xml:space="preserve">approximately </w:t>
      </w:r>
      <w:r w:rsidR="00E834ED" w:rsidRPr="00E834ED">
        <w:rPr>
          <w:rFonts w:ascii="Tahoma" w:hAnsi="Tahoma" w:cs="Tahoma"/>
          <w:sz w:val="23"/>
          <w:szCs w:val="23"/>
        </w:rPr>
        <w:t>90 credits</w:t>
      </w:r>
      <w:r w:rsidR="00DF7100">
        <w:rPr>
          <w:rFonts w:ascii="Tahoma" w:hAnsi="Tahoma" w:cs="Tahoma"/>
          <w:sz w:val="23"/>
          <w:szCs w:val="23"/>
        </w:rPr>
        <w:t>.</w:t>
      </w:r>
      <w:r w:rsidR="00637E35">
        <w:rPr>
          <w:rFonts w:ascii="Tahoma" w:hAnsi="Tahoma" w:cs="Tahoma"/>
          <w:sz w:val="23"/>
          <w:szCs w:val="23"/>
        </w:rPr>
        <w:t xml:space="preserve">  These are valuable </w:t>
      </w:r>
      <w:r w:rsidR="009240CC">
        <w:rPr>
          <w:rFonts w:ascii="Tahoma" w:hAnsi="Tahoma" w:cs="Tahoma"/>
          <w:sz w:val="23"/>
          <w:szCs w:val="23"/>
        </w:rPr>
        <w:t>qualifications,</w:t>
      </w:r>
      <w:r w:rsidR="00637E35">
        <w:rPr>
          <w:rFonts w:ascii="Tahoma" w:hAnsi="Tahoma" w:cs="Tahoma"/>
          <w:sz w:val="23"/>
          <w:szCs w:val="23"/>
        </w:rPr>
        <w:t xml:space="preserve"> and it would be useful to make some smaller qualifications suitable for this group.  </w:t>
      </w:r>
      <w:r w:rsidR="00DF7100">
        <w:rPr>
          <w:rFonts w:ascii="Tahoma" w:hAnsi="Tahoma" w:cs="Tahoma"/>
          <w:sz w:val="23"/>
          <w:szCs w:val="23"/>
        </w:rPr>
        <w:t xml:space="preserve"> </w:t>
      </w:r>
    </w:p>
    <w:p w14:paraId="73C5959E" w14:textId="77777777" w:rsidR="00F6266E" w:rsidRPr="00E834ED" w:rsidRDefault="00F6266E">
      <w:pPr>
        <w:rPr>
          <w:rFonts w:ascii="Tahoma" w:hAnsi="Tahoma" w:cs="Tahoma"/>
          <w:sz w:val="23"/>
          <w:szCs w:val="23"/>
        </w:rPr>
      </w:pPr>
    </w:p>
    <w:p w14:paraId="752F54C6" w14:textId="31D83D44" w:rsidR="000437AF" w:rsidRPr="00E834ED" w:rsidRDefault="000437AF" w:rsidP="000365FE">
      <w:pPr>
        <w:pStyle w:val="Heading1"/>
      </w:pPr>
      <w:bookmarkStart w:id="2" w:name="_Toc99562945"/>
      <w:r w:rsidRPr="00E834ED">
        <w:t>Group 2: Technical qualifications enabling entry into occupations at level 2 (‘occupational-entry qualifications’)</w:t>
      </w:r>
      <w:bookmarkEnd w:id="2"/>
    </w:p>
    <w:p w14:paraId="4FB32C80" w14:textId="155670F2" w:rsidR="000437AF" w:rsidRPr="00E834ED" w:rsidRDefault="000437AF" w:rsidP="00E834E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These must:</w:t>
      </w:r>
    </w:p>
    <w:p w14:paraId="42D161A8" w14:textId="665578B1" w:rsidR="000437AF" w:rsidRPr="00637E35" w:rsidRDefault="000437AF" w:rsidP="00637E3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637E35">
        <w:rPr>
          <w:rFonts w:ascii="Tahoma" w:hAnsi="Tahoma" w:cs="Tahoma"/>
          <w:sz w:val="23"/>
          <w:szCs w:val="23"/>
        </w:rPr>
        <w:t>Align to an employer-led occupational standard at level 2</w:t>
      </w:r>
    </w:p>
    <w:p w14:paraId="6233EC79" w14:textId="77777777" w:rsidR="00637E35" w:rsidRDefault="000437AF" w:rsidP="00637E3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637E35">
        <w:rPr>
          <w:rFonts w:ascii="Tahoma" w:hAnsi="Tahoma" w:cs="Tahoma"/>
          <w:sz w:val="23"/>
          <w:szCs w:val="23"/>
        </w:rPr>
        <w:t xml:space="preserve">Ensure students who attain the qualification are sufficiently competent to enter the occupation without substantive further training. </w:t>
      </w:r>
    </w:p>
    <w:p w14:paraId="7409EA72" w14:textId="1EA605A9" w:rsidR="00881A3F" w:rsidRPr="00637E35" w:rsidRDefault="00881A3F" w:rsidP="00637E3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637E35">
        <w:rPr>
          <w:rFonts w:ascii="Tahoma" w:hAnsi="Tahoma" w:cs="Tahoma"/>
          <w:sz w:val="23"/>
          <w:szCs w:val="23"/>
        </w:rPr>
        <w:t>Include an appropriate blend of</w:t>
      </w:r>
    </w:p>
    <w:p w14:paraId="3B740F13" w14:textId="6B104099" w:rsidR="00881A3F" w:rsidRPr="003701E8" w:rsidRDefault="00881A3F" w:rsidP="003701E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2EFD9" w:themeFill="accent6" w:themeFillTint="33"/>
        <w:ind w:left="1134" w:hanging="1134"/>
        <w:rPr>
          <w:rFonts w:ascii="Tahoma" w:hAnsi="Tahoma" w:cs="Tahoma"/>
          <w:sz w:val="23"/>
          <w:szCs w:val="23"/>
        </w:rPr>
      </w:pPr>
      <w:r w:rsidRPr="003701E8">
        <w:rPr>
          <w:rFonts w:ascii="Tahoma" w:hAnsi="Tahoma" w:cs="Tahoma"/>
          <w:sz w:val="23"/>
          <w:szCs w:val="23"/>
        </w:rPr>
        <w:t>suitable knowledge to support wider contextual understanding of the route</w:t>
      </w:r>
    </w:p>
    <w:p w14:paraId="6E7328E3" w14:textId="08B15F05" w:rsidR="00881A3F" w:rsidRPr="003701E8" w:rsidRDefault="00881A3F" w:rsidP="003701E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2EFD9" w:themeFill="accent6" w:themeFillTint="33"/>
        <w:ind w:left="1134" w:hanging="1134"/>
        <w:rPr>
          <w:rFonts w:ascii="Tahoma" w:hAnsi="Tahoma" w:cs="Tahoma"/>
          <w:sz w:val="23"/>
          <w:szCs w:val="23"/>
        </w:rPr>
      </w:pPr>
      <w:r w:rsidRPr="003701E8">
        <w:rPr>
          <w:rFonts w:ascii="Tahoma" w:hAnsi="Tahoma" w:cs="Tahoma"/>
          <w:sz w:val="23"/>
          <w:szCs w:val="23"/>
        </w:rPr>
        <w:t xml:space="preserve">theory, </w:t>
      </w:r>
      <w:proofErr w:type="gramStart"/>
      <w:r w:rsidRPr="003701E8">
        <w:rPr>
          <w:rFonts w:ascii="Tahoma" w:hAnsi="Tahoma" w:cs="Tahoma"/>
          <w:sz w:val="23"/>
          <w:szCs w:val="23"/>
        </w:rPr>
        <w:t>concepts</w:t>
      </w:r>
      <w:proofErr w:type="gramEnd"/>
      <w:r w:rsidRPr="003701E8">
        <w:rPr>
          <w:rFonts w:ascii="Tahoma" w:hAnsi="Tahoma" w:cs="Tahoma"/>
          <w:sz w:val="23"/>
          <w:szCs w:val="23"/>
        </w:rPr>
        <w:t xml:space="preserve"> and core skills (such as communication, project management and teamwork) to support adaptability and practical application</w:t>
      </w:r>
    </w:p>
    <w:p w14:paraId="52F47643" w14:textId="38ECA66C" w:rsidR="00881A3F" w:rsidRPr="003701E8" w:rsidRDefault="00881A3F" w:rsidP="003701E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2EFD9" w:themeFill="accent6" w:themeFillTint="33"/>
        <w:ind w:left="1134" w:hanging="1134"/>
        <w:rPr>
          <w:rFonts w:ascii="Tahoma" w:hAnsi="Tahoma" w:cs="Tahoma"/>
          <w:sz w:val="23"/>
          <w:szCs w:val="23"/>
        </w:rPr>
      </w:pPr>
      <w:r w:rsidRPr="003701E8">
        <w:rPr>
          <w:rFonts w:ascii="Tahoma" w:hAnsi="Tahoma" w:cs="Tahoma"/>
          <w:sz w:val="23"/>
          <w:szCs w:val="23"/>
        </w:rPr>
        <w:t>the occupationally specific technical knowledge, skills and behaviours required to enter a specific occupation.</w:t>
      </w:r>
    </w:p>
    <w:p w14:paraId="0769D477" w14:textId="25F9223E" w:rsidR="00881A3F" w:rsidRPr="00E834ED" w:rsidRDefault="00881A3F" w:rsidP="00E834ED">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lastRenderedPageBreak/>
        <w:t xml:space="preserve">Be substantial in size (more than half of a 16 to 19 study programme) and designed to be delivered to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over two academic years, with a guideline minimum size of 540 GLH.</w:t>
      </w:r>
    </w:p>
    <w:p w14:paraId="3037A358" w14:textId="3ECAA214" w:rsidR="000437AF" w:rsidRDefault="00881A3F" w:rsidP="00E834ED">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Be available to both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w:t>
      </w:r>
    </w:p>
    <w:p w14:paraId="6A44185F" w14:textId="77777777" w:rsidR="003701E8" w:rsidRPr="003701E8" w:rsidRDefault="003701E8" w:rsidP="003701E8">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3701E8">
        <w:rPr>
          <w:rFonts w:ascii="Tahoma" w:hAnsi="Tahoma" w:cs="Tahoma"/>
          <w:sz w:val="23"/>
          <w:szCs w:val="23"/>
        </w:rPr>
        <w:t xml:space="preserve">We are consulting on two different options for the main qualification offer that should be available to </w:t>
      </w:r>
      <w:proofErr w:type="gramStart"/>
      <w:r w:rsidRPr="003701E8">
        <w:rPr>
          <w:rFonts w:ascii="Tahoma" w:hAnsi="Tahoma" w:cs="Tahoma"/>
          <w:sz w:val="23"/>
          <w:szCs w:val="23"/>
        </w:rPr>
        <w:t>16 to 19 year olds</w:t>
      </w:r>
      <w:proofErr w:type="gramEnd"/>
      <w:r w:rsidRPr="003701E8">
        <w:rPr>
          <w:rFonts w:ascii="Tahoma" w:hAnsi="Tahoma" w:cs="Tahoma"/>
          <w:sz w:val="23"/>
          <w:szCs w:val="23"/>
        </w:rPr>
        <w:t xml:space="preserve"> aiming to enter an occupation at level 2:</w:t>
      </w:r>
    </w:p>
    <w:p w14:paraId="5167F730" w14:textId="77777777" w:rsidR="003701E8" w:rsidRPr="003701E8" w:rsidRDefault="003701E8" w:rsidP="003701E8">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3701E8">
        <w:rPr>
          <w:rFonts w:ascii="Tahoma" w:hAnsi="Tahoma" w:cs="Tahoma"/>
          <w:sz w:val="23"/>
          <w:szCs w:val="23"/>
        </w:rPr>
        <w:t>Option A – Group 2 qualifications only</w:t>
      </w:r>
    </w:p>
    <w:p w14:paraId="5EC47C47" w14:textId="32E08656" w:rsidR="003701E8" w:rsidRPr="003701E8" w:rsidRDefault="003701E8" w:rsidP="003701E8">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3701E8">
        <w:rPr>
          <w:rFonts w:ascii="Tahoma" w:hAnsi="Tahoma" w:cs="Tahoma"/>
          <w:sz w:val="23"/>
          <w:szCs w:val="23"/>
        </w:rPr>
        <w:t>Option B – Group 2 qualifications, plus the alternative of taking two medium sized occupational-focus qualifications (from group 3) in different routes over two years, with a guideline size of around 350 GLH per qualification</w:t>
      </w:r>
    </w:p>
    <w:p w14:paraId="64EC6143" w14:textId="77777777" w:rsidR="00F6266E" w:rsidRPr="00E834ED" w:rsidRDefault="00F6266E" w:rsidP="00F6266E">
      <w:pPr>
        <w:rPr>
          <w:rFonts w:ascii="Tahoma" w:hAnsi="Tahoma" w:cs="Tahoma"/>
          <w:i/>
          <w:iCs/>
          <w:sz w:val="23"/>
          <w:szCs w:val="23"/>
        </w:rPr>
      </w:pPr>
      <w:r w:rsidRPr="00E834ED">
        <w:rPr>
          <w:rFonts w:ascii="Tahoma" w:hAnsi="Tahoma" w:cs="Tahoma"/>
          <w:i/>
          <w:iCs/>
          <w:sz w:val="23"/>
          <w:szCs w:val="23"/>
        </w:rPr>
        <w:t>7. Do you agree that we should fund occupational-entry qualifications leading to employment at level 2?</w:t>
      </w:r>
    </w:p>
    <w:p w14:paraId="5B5C3449" w14:textId="77777777" w:rsidR="00F6266E" w:rsidRPr="00E834ED" w:rsidRDefault="00F6266E" w:rsidP="00F6266E">
      <w:pPr>
        <w:rPr>
          <w:rFonts w:ascii="Tahoma" w:hAnsi="Tahoma" w:cs="Tahoma"/>
          <w:sz w:val="23"/>
          <w:szCs w:val="23"/>
        </w:rPr>
      </w:pPr>
      <w:r w:rsidRPr="00E834ED">
        <w:rPr>
          <w:rFonts w:ascii="Tahoma" w:hAnsi="Tahoma" w:cs="Tahoma"/>
          <w:sz w:val="23"/>
          <w:szCs w:val="23"/>
        </w:rPr>
        <w:t xml:space="preserve"> Yes</w:t>
      </w:r>
    </w:p>
    <w:p w14:paraId="7B4EB267" w14:textId="77777777" w:rsidR="00F6266E" w:rsidRPr="00E834ED" w:rsidRDefault="00F6266E" w:rsidP="00F6266E">
      <w:pPr>
        <w:rPr>
          <w:rFonts w:ascii="Tahoma" w:hAnsi="Tahoma" w:cs="Tahoma"/>
          <w:i/>
          <w:iCs/>
          <w:sz w:val="23"/>
          <w:szCs w:val="23"/>
        </w:rPr>
      </w:pPr>
      <w:r w:rsidRPr="00E834ED">
        <w:rPr>
          <w:rFonts w:ascii="Tahoma" w:hAnsi="Tahoma" w:cs="Tahoma"/>
          <w:i/>
          <w:iCs/>
          <w:sz w:val="23"/>
          <w:szCs w:val="23"/>
        </w:rPr>
        <w:t xml:space="preserve">Do you agree that these qualifications should include broad route-specific content as well as the knowledge, skills and behaviours required to enter an occupation? </w:t>
      </w:r>
    </w:p>
    <w:p w14:paraId="151F0A1D" w14:textId="77777777" w:rsidR="00F6266E" w:rsidRPr="00E834ED" w:rsidRDefault="00F6266E" w:rsidP="00F6266E">
      <w:pPr>
        <w:rPr>
          <w:rFonts w:ascii="Tahoma" w:hAnsi="Tahoma" w:cs="Tahoma"/>
          <w:sz w:val="23"/>
          <w:szCs w:val="23"/>
        </w:rPr>
      </w:pPr>
      <w:r w:rsidRPr="00E834ED">
        <w:rPr>
          <w:rFonts w:ascii="Tahoma" w:hAnsi="Tahoma" w:cs="Tahoma"/>
          <w:sz w:val="23"/>
          <w:szCs w:val="23"/>
        </w:rPr>
        <w:t>No</w:t>
      </w:r>
    </w:p>
    <w:p w14:paraId="6EDB6E58" w14:textId="77777777" w:rsidR="00F6266E" w:rsidRPr="005C24FE" w:rsidRDefault="00F6266E" w:rsidP="00F6266E">
      <w:pPr>
        <w:rPr>
          <w:rFonts w:ascii="Tahoma" w:hAnsi="Tahoma" w:cs="Tahoma"/>
          <w:i/>
          <w:iCs/>
          <w:sz w:val="23"/>
          <w:szCs w:val="23"/>
        </w:rPr>
      </w:pPr>
      <w:r w:rsidRPr="005C24FE">
        <w:rPr>
          <w:rFonts w:ascii="Tahoma" w:hAnsi="Tahoma" w:cs="Tahoma"/>
          <w:i/>
          <w:iCs/>
          <w:sz w:val="23"/>
          <w:szCs w:val="23"/>
        </w:rPr>
        <w:t xml:space="preserve">Do you agree that these qualifications should be large in size (minimum 540 GLH)? </w:t>
      </w:r>
    </w:p>
    <w:p w14:paraId="732519BB" w14:textId="77777777" w:rsidR="00F6266E" w:rsidRPr="00E834ED" w:rsidRDefault="00F6266E" w:rsidP="00F6266E">
      <w:pPr>
        <w:rPr>
          <w:rFonts w:ascii="Tahoma" w:hAnsi="Tahoma" w:cs="Tahoma"/>
          <w:sz w:val="23"/>
          <w:szCs w:val="23"/>
        </w:rPr>
      </w:pPr>
      <w:r w:rsidRPr="00E834ED">
        <w:rPr>
          <w:rFonts w:ascii="Tahoma" w:hAnsi="Tahoma" w:cs="Tahoma"/>
          <w:sz w:val="23"/>
          <w:szCs w:val="23"/>
        </w:rPr>
        <w:t>No</w:t>
      </w:r>
    </w:p>
    <w:p w14:paraId="71590D32" w14:textId="77777777" w:rsidR="00F6266E" w:rsidRPr="005C24FE" w:rsidRDefault="00F6266E" w:rsidP="00F6266E">
      <w:pPr>
        <w:rPr>
          <w:rFonts w:ascii="Tahoma" w:hAnsi="Tahoma" w:cs="Tahoma"/>
          <w:i/>
          <w:iCs/>
          <w:sz w:val="23"/>
          <w:szCs w:val="23"/>
        </w:rPr>
      </w:pPr>
      <w:r w:rsidRPr="005C24FE">
        <w:rPr>
          <w:rFonts w:ascii="Tahoma" w:hAnsi="Tahoma" w:cs="Tahoma"/>
          <w:i/>
          <w:iCs/>
          <w:sz w:val="23"/>
          <w:szCs w:val="23"/>
        </w:rPr>
        <w:t>Please give reasons for your answers</w:t>
      </w:r>
    </w:p>
    <w:p w14:paraId="2D6281DC" w14:textId="6DF19170" w:rsidR="00E42E1C" w:rsidRDefault="00E42E1C" w:rsidP="00E42E1C">
      <w:pPr>
        <w:rPr>
          <w:rFonts w:ascii="Tahoma" w:hAnsi="Tahoma" w:cs="Tahoma"/>
          <w:sz w:val="23"/>
          <w:szCs w:val="23"/>
        </w:rPr>
      </w:pPr>
      <w:r>
        <w:rPr>
          <w:rFonts w:ascii="Tahoma" w:hAnsi="Tahoma" w:cs="Tahoma"/>
          <w:sz w:val="23"/>
          <w:szCs w:val="23"/>
        </w:rPr>
        <w:t>In land-based industry where occupations are not clearly defined and standards are discouraged by IFATE at adjacent levels, the apprenticeship will be placed where there is most need.  In sectors where there are no level 2 standards</w:t>
      </w:r>
      <w:r w:rsidR="00084FBD">
        <w:rPr>
          <w:rFonts w:ascii="Tahoma" w:hAnsi="Tahoma" w:cs="Tahoma"/>
          <w:sz w:val="23"/>
          <w:szCs w:val="23"/>
        </w:rPr>
        <w:t>,</w:t>
      </w:r>
      <w:r>
        <w:rPr>
          <w:rFonts w:ascii="Tahoma" w:hAnsi="Tahoma" w:cs="Tahoma"/>
          <w:sz w:val="23"/>
          <w:szCs w:val="23"/>
        </w:rPr>
        <w:t xml:space="preserve"> there should be the opportunity for </w:t>
      </w:r>
      <w:r w:rsidR="00084FBD">
        <w:rPr>
          <w:rFonts w:ascii="Tahoma" w:hAnsi="Tahoma" w:cs="Tahoma"/>
          <w:sz w:val="23"/>
          <w:szCs w:val="23"/>
        </w:rPr>
        <w:t xml:space="preserve">a </w:t>
      </w:r>
      <w:r>
        <w:rPr>
          <w:rFonts w:ascii="Tahoma" w:hAnsi="Tahoma" w:cs="Tahoma"/>
          <w:sz w:val="23"/>
          <w:szCs w:val="23"/>
        </w:rPr>
        <w:t>level 2 qualification</w:t>
      </w:r>
      <w:r w:rsidR="00084FBD">
        <w:rPr>
          <w:rFonts w:ascii="Tahoma" w:hAnsi="Tahoma" w:cs="Tahoma"/>
          <w:sz w:val="23"/>
          <w:szCs w:val="23"/>
        </w:rPr>
        <w:t>,</w:t>
      </w:r>
      <w:r>
        <w:rPr>
          <w:rFonts w:ascii="Tahoma" w:hAnsi="Tahoma" w:cs="Tahoma"/>
          <w:sz w:val="23"/>
          <w:szCs w:val="23"/>
        </w:rPr>
        <w:t xml:space="preserve"> for example forestry </w:t>
      </w:r>
      <w:r w:rsidR="0011288C">
        <w:rPr>
          <w:rFonts w:ascii="Tahoma" w:hAnsi="Tahoma" w:cs="Tahoma"/>
          <w:sz w:val="23"/>
          <w:szCs w:val="23"/>
        </w:rPr>
        <w:t>or production horticulture</w:t>
      </w:r>
      <w:r>
        <w:rPr>
          <w:rFonts w:ascii="Tahoma" w:hAnsi="Tahoma" w:cs="Tahoma"/>
          <w:sz w:val="23"/>
          <w:szCs w:val="23"/>
        </w:rPr>
        <w:t xml:space="preserve">.  </w:t>
      </w:r>
      <w:r w:rsidR="00993134">
        <w:rPr>
          <w:rFonts w:ascii="Tahoma" w:hAnsi="Tahoma" w:cs="Tahoma"/>
          <w:sz w:val="23"/>
          <w:szCs w:val="23"/>
        </w:rPr>
        <w:t>A level 2 qualification</w:t>
      </w:r>
      <w:r>
        <w:rPr>
          <w:rFonts w:ascii="Tahoma" w:hAnsi="Tahoma" w:cs="Tahoma"/>
          <w:sz w:val="23"/>
          <w:szCs w:val="23"/>
        </w:rPr>
        <w:t xml:space="preserve"> will be </w:t>
      </w:r>
      <w:r w:rsidR="00084FBD">
        <w:rPr>
          <w:rFonts w:ascii="Tahoma" w:hAnsi="Tahoma" w:cs="Tahoma"/>
          <w:sz w:val="23"/>
          <w:szCs w:val="23"/>
        </w:rPr>
        <w:t xml:space="preserve">sufficient </w:t>
      </w:r>
      <w:r>
        <w:rPr>
          <w:rFonts w:ascii="Tahoma" w:hAnsi="Tahoma" w:cs="Tahoma"/>
          <w:sz w:val="23"/>
          <w:szCs w:val="23"/>
        </w:rPr>
        <w:t>to make them a useful worker for many employers.</w:t>
      </w:r>
      <w:r w:rsidR="00D42F70">
        <w:rPr>
          <w:rFonts w:ascii="Tahoma" w:hAnsi="Tahoma" w:cs="Tahoma"/>
          <w:sz w:val="23"/>
          <w:szCs w:val="23"/>
        </w:rPr>
        <w:t xml:space="preserve">  Also</w:t>
      </w:r>
      <w:r w:rsidR="00993134">
        <w:rPr>
          <w:rFonts w:ascii="Tahoma" w:hAnsi="Tahoma" w:cs="Tahoma"/>
          <w:sz w:val="23"/>
          <w:szCs w:val="23"/>
        </w:rPr>
        <w:t>,</w:t>
      </w:r>
      <w:r w:rsidR="00D42F70">
        <w:rPr>
          <w:rFonts w:ascii="Tahoma" w:hAnsi="Tahoma" w:cs="Tahoma"/>
          <w:sz w:val="23"/>
          <w:szCs w:val="23"/>
        </w:rPr>
        <w:t xml:space="preserve"> apprenticeship standards are written to provide core transferable occupations and do not reflect the full diversity of skills required.  Current qualification</w:t>
      </w:r>
      <w:r w:rsidR="00993134">
        <w:rPr>
          <w:rFonts w:ascii="Tahoma" w:hAnsi="Tahoma" w:cs="Tahoma"/>
          <w:sz w:val="23"/>
          <w:szCs w:val="23"/>
        </w:rPr>
        <w:t>s</w:t>
      </w:r>
      <w:r w:rsidR="00D42F70">
        <w:rPr>
          <w:rFonts w:ascii="Tahoma" w:hAnsi="Tahoma" w:cs="Tahoma"/>
          <w:sz w:val="23"/>
          <w:szCs w:val="23"/>
        </w:rPr>
        <w:t xml:space="preserve"> have more flexibility</w:t>
      </w:r>
      <w:r w:rsidR="00775E14">
        <w:rPr>
          <w:rFonts w:ascii="Tahoma" w:hAnsi="Tahoma" w:cs="Tahoma"/>
          <w:sz w:val="23"/>
          <w:szCs w:val="23"/>
        </w:rPr>
        <w:t xml:space="preserve"> than apprenticeships as they do not need to restrict themselves to skills most employers will use and can include them as options</w:t>
      </w:r>
      <w:r w:rsidR="00D42F70">
        <w:rPr>
          <w:rFonts w:ascii="Tahoma" w:hAnsi="Tahoma" w:cs="Tahoma"/>
          <w:sz w:val="23"/>
          <w:szCs w:val="23"/>
        </w:rPr>
        <w:t xml:space="preserve">, </w:t>
      </w:r>
      <w:r w:rsidR="00775E14">
        <w:rPr>
          <w:rFonts w:ascii="Tahoma" w:hAnsi="Tahoma" w:cs="Tahoma"/>
          <w:sz w:val="23"/>
          <w:szCs w:val="23"/>
        </w:rPr>
        <w:t>examples might be</w:t>
      </w:r>
      <w:r w:rsidR="00D42F70">
        <w:rPr>
          <w:rFonts w:ascii="Tahoma" w:hAnsi="Tahoma" w:cs="Tahoma"/>
          <w:sz w:val="23"/>
          <w:szCs w:val="23"/>
        </w:rPr>
        <w:t xml:space="preserve"> </w:t>
      </w:r>
      <w:r w:rsidR="00775E14">
        <w:rPr>
          <w:rFonts w:ascii="Tahoma" w:hAnsi="Tahoma" w:cs="Tahoma"/>
          <w:sz w:val="23"/>
          <w:szCs w:val="23"/>
        </w:rPr>
        <w:t xml:space="preserve">skills such as </w:t>
      </w:r>
      <w:r w:rsidR="00D42F70">
        <w:rPr>
          <w:rFonts w:ascii="Tahoma" w:hAnsi="Tahoma" w:cs="Tahoma"/>
          <w:sz w:val="23"/>
          <w:szCs w:val="23"/>
        </w:rPr>
        <w:t>fruit</w:t>
      </w:r>
      <w:r w:rsidR="00775E14">
        <w:rPr>
          <w:rFonts w:ascii="Tahoma" w:hAnsi="Tahoma" w:cs="Tahoma"/>
          <w:sz w:val="23"/>
          <w:szCs w:val="23"/>
        </w:rPr>
        <w:t xml:space="preserve"> or</w:t>
      </w:r>
      <w:r w:rsidR="00D42F70">
        <w:rPr>
          <w:rFonts w:ascii="Tahoma" w:hAnsi="Tahoma" w:cs="Tahoma"/>
          <w:sz w:val="23"/>
          <w:szCs w:val="23"/>
        </w:rPr>
        <w:t xml:space="preserve"> vegetable</w:t>
      </w:r>
      <w:r w:rsidR="00775E14">
        <w:rPr>
          <w:rFonts w:ascii="Tahoma" w:hAnsi="Tahoma" w:cs="Tahoma"/>
          <w:sz w:val="23"/>
          <w:szCs w:val="23"/>
        </w:rPr>
        <w:t xml:space="preserve"> growing, artificial turf, green roofs, garden interpretation</w:t>
      </w:r>
      <w:r w:rsidR="00D42F70">
        <w:rPr>
          <w:rFonts w:ascii="Tahoma" w:hAnsi="Tahoma" w:cs="Tahoma"/>
          <w:sz w:val="23"/>
          <w:szCs w:val="23"/>
        </w:rPr>
        <w:t xml:space="preserve">.  This flexibility will be a loss to sectors where roles vary </w:t>
      </w:r>
      <w:r w:rsidR="00775E14">
        <w:rPr>
          <w:rFonts w:ascii="Tahoma" w:hAnsi="Tahoma" w:cs="Tahoma"/>
          <w:sz w:val="23"/>
          <w:szCs w:val="23"/>
        </w:rPr>
        <w:t xml:space="preserve">widely, </w:t>
      </w:r>
      <w:r w:rsidR="00D42F70">
        <w:rPr>
          <w:rFonts w:ascii="Tahoma" w:hAnsi="Tahoma" w:cs="Tahoma"/>
          <w:sz w:val="23"/>
          <w:szCs w:val="23"/>
        </w:rPr>
        <w:t xml:space="preserve">such as </w:t>
      </w:r>
      <w:r w:rsidR="00993134">
        <w:rPr>
          <w:rFonts w:ascii="Tahoma" w:hAnsi="Tahoma" w:cs="Tahoma"/>
          <w:sz w:val="23"/>
          <w:szCs w:val="23"/>
        </w:rPr>
        <w:t xml:space="preserve">much of </w:t>
      </w:r>
      <w:r w:rsidR="00084FBD">
        <w:rPr>
          <w:rFonts w:ascii="Tahoma" w:hAnsi="Tahoma" w:cs="Tahoma"/>
          <w:sz w:val="23"/>
          <w:szCs w:val="23"/>
        </w:rPr>
        <w:t xml:space="preserve">the </w:t>
      </w:r>
      <w:r w:rsidR="00993134">
        <w:rPr>
          <w:rFonts w:ascii="Tahoma" w:hAnsi="Tahoma" w:cs="Tahoma"/>
          <w:sz w:val="23"/>
          <w:szCs w:val="23"/>
        </w:rPr>
        <w:t>land-based</w:t>
      </w:r>
      <w:r w:rsidR="00084FBD">
        <w:rPr>
          <w:rFonts w:ascii="Tahoma" w:hAnsi="Tahoma" w:cs="Tahoma"/>
          <w:sz w:val="23"/>
          <w:szCs w:val="23"/>
        </w:rPr>
        <w:t xml:space="preserve"> sector</w:t>
      </w:r>
      <w:r w:rsidR="00D42F70">
        <w:rPr>
          <w:rFonts w:ascii="Tahoma" w:hAnsi="Tahoma" w:cs="Tahoma"/>
          <w:sz w:val="23"/>
          <w:szCs w:val="23"/>
        </w:rPr>
        <w:t xml:space="preserve">.  </w:t>
      </w:r>
    </w:p>
    <w:p w14:paraId="47AA2F71" w14:textId="1162F8AE" w:rsidR="00405225" w:rsidRPr="00E834ED" w:rsidRDefault="00405225" w:rsidP="00405225">
      <w:pPr>
        <w:rPr>
          <w:rFonts w:ascii="Tahoma" w:hAnsi="Tahoma" w:cs="Tahoma"/>
          <w:sz w:val="23"/>
          <w:szCs w:val="23"/>
        </w:rPr>
      </w:pPr>
      <w:r w:rsidRPr="00E834ED">
        <w:rPr>
          <w:rFonts w:ascii="Tahoma" w:hAnsi="Tahoma" w:cs="Tahoma"/>
          <w:sz w:val="23"/>
          <w:szCs w:val="23"/>
        </w:rPr>
        <w:t>This is much larger than the current qualifications</w:t>
      </w:r>
      <w:r w:rsidR="00775E14">
        <w:rPr>
          <w:rFonts w:ascii="Tahoma" w:hAnsi="Tahoma" w:cs="Tahoma"/>
          <w:sz w:val="23"/>
          <w:szCs w:val="23"/>
        </w:rPr>
        <w:t>,</w:t>
      </w:r>
      <w:r w:rsidRPr="00E834ED">
        <w:rPr>
          <w:rFonts w:ascii="Tahoma" w:hAnsi="Tahoma" w:cs="Tahoma"/>
          <w:sz w:val="23"/>
          <w:szCs w:val="23"/>
        </w:rPr>
        <w:t xml:space="preserve"> that are adequate to teach to an occupation.  The Work Based Diplomas are at around the 280 </w:t>
      </w:r>
      <w:r>
        <w:rPr>
          <w:rFonts w:ascii="Tahoma" w:hAnsi="Tahoma" w:cs="Tahoma"/>
          <w:sz w:val="23"/>
          <w:szCs w:val="23"/>
        </w:rPr>
        <w:t xml:space="preserve">GLH </w:t>
      </w:r>
      <w:r w:rsidRPr="00E834ED">
        <w:rPr>
          <w:rFonts w:ascii="Tahoma" w:hAnsi="Tahoma" w:cs="Tahoma"/>
          <w:sz w:val="23"/>
          <w:szCs w:val="23"/>
        </w:rPr>
        <w:t>and the most respected qualifications (without additional functional skills)</w:t>
      </w:r>
      <w:r w:rsidR="009240CC">
        <w:rPr>
          <w:rFonts w:ascii="Tahoma" w:hAnsi="Tahoma" w:cs="Tahoma"/>
          <w:sz w:val="23"/>
          <w:szCs w:val="23"/>
        </w:rPr>
        <w:t>,</w:t>
      </w:r>
      <w:r w:rsidRPr="00E834ED">
        <w:rPr>
          <w:rFonts w:ascii="Tahoma" w:hAnsi="Tahoma" w:cs="Tahoma"/>
          <w:sz w:val="23"/>
          <w:szCs w:val="23"/>
        </w:rPr>
        <w:t xml:space="preserve"> for example </w:t>
      </w:r>
      <w:r w:rsidR="00215F02" w:rsidRPr="00E834ED">
        <w:rPr>
          <w:rFonts w:ascii="Tahoma" w:hAnsi="Tahoma" w:cs="Tahoma"/>
          <w:sz w:val="23"/>
          <w:szCs w:val="23"/>
        </w:rPr>
        <w:t xml:space="preserve">RHS Level 2 Certificate in The Principles </w:t>
      </w:r>
      <w:r w:rsidR="00215F02">
        <w:rPr>
          <w:rFonts w:ascii="Tahoma" w:hAnsi="Tahoma" w:cs="Tahoma"/>
          <w:sz w:val="23"/>
          <w:szCs w:val="23"/>
        </w:rPr>
        <w:t>and Practices of Horticulture</w:t>
      </w:r>
      <w:r w:rsidR="009240CC">
        <w:rPr>
          <w:rFonts w:ascii="Tahoma" w:hAnsi="Tahoma" w:cs="Tahoma"/>
          <w:sz w:val="23"/>
          <w:szCs w:val="23"/>
        </w:rPr>
        <w:t>,</w:t>
      </w:r>
      <w:r w:rsidR="00215F02">
        <w:rPr>
          <w:rFonts w:ascii="Tahoma" w:hAnsi="Tahoma" w:cs="Tahoma"/>
          <w:sz w:val="23"/>
          <w:szCs w:val="23"/>
        </w:rPr>
        <w:t xml:space="preserve"> </w:t>
      </w:r>
      <w:r w:rsidRPr="00E834ED">
        <w:rPr>
          <w:rFonts w:ascii="Tahoma" w:hAnsi="Tahoma" w:cs="Tahoma"/>
          <w:sz w:val="23"/>
          <w:szCs w:val="23"/>
        </w:rPr>
        <w:t xml:space="preserve">BTEC and City and Guilds </w:t>
      </w:r>
      <w:proofErr w:type="spellStart"/>
      <w:r w:rsidRPr="00E834ED">
        <w:rPr>
          <w:rFonts w:ascii="Tahoma" w:hAnsi="Tahoma" w:cs="Tahoma"/>
          <w:sz w:val="23"/>
          <w:szCs w:val="23"/>
        </w:rPr>
        <w:t>Technical</w:t>
      </w:r>
      <w:r>
        <w:rPr>
          <w:rFonts w:ascii="Tahoma" w:hAnsi="Tahoma" w:cs="Tahoma"/>
          <w:sz w:val="23"/>
          <w:szCs w:val="23"/>
        </w:rPr>
        <w:t>s</w:t>
      </w:r>
      <w:proofErr w:type="spellEnd"/>
      <w:r w:rsidR="009240CC">
        <w:rPr>
          <w:rFonts w:ascii="Tahoma" w:hAnsi="Tahoma" w:cs="Tahoma"/>
          <w:sz w:val="23"/>
          <w:szCs w:val="23"/>
        </w:rPr>
        <w:t>,</w:t>
      </w:r>
      <w:r w:rsidRPr="00E834ED">
        <w:rPr>
          <w:rFonts w:ascii="Tahoma" w:hAnsi="Tahoma" w:cs="Tahoma"/>
          <w:sz w:val="23"/>
          <w:szCs w:val="23"/>
        </w:rPr>
        <w:t xml:space="preserve"> are no larger than 380GLH.  </w:t>
      </w:r>
      <w:r w:rsidR="00084FBD">
        <w:rPr>
          <w:rFonts w:ascii="Tahoma" w:hAnsi="Tahoma" w:cs="Tahoma"/>
          <w:sz w:val="23"/>
          <w:szCs w:val="23"/>
        </w:rPr>
        <w:t>540 GLH</w:t>
      </w:r>
      <w:r w:rsidRPr="00E834ED">
        <w:rPr>
          <w:rFonts w:ascii="Tahoma" w:hAnsi="Tahoma" w:cs="Tahoma"/>
          <w:sz w:val="23"/>
          <w:szCs w:val="23"/>
        </w:rPr>
        <w:t xml:space="preserve"> seem</w:t>
      </w:r>
      <w:r w:rsidR="00084FBD">
        <w:rPr>
          <w:rFonts w:ascii="Tahoma" w:hAnsi="Tahoma" w:cs="Tahoma"/>
          <w:sz w:val="23"/>
          <w:szCs w:val="23"/>
        </w:rPr>
        <w:t>s</w:t>
      </w:r>
      <w:r w:rsidRPr="00E834ED">
        <w:rPr>
          <w:rFonts w:ascii="Tahoma" w:hAnsi="Tahoma" w:cs="Tahoma"/>
          <w:sz w:val="23"/>
          <w:szCs w:val="23"/>
        </w:rPr>
        <w:t xml:space="preserve"> unnecessarily long, will be daunting for learners at this size to undertake</w:t>
      </w:r>
      <w:r w:rsidR="007A5B22">
        <w:rPr>
          <w:rFonts w:ascii="Tahoma" w:hAnsi="Tahoma" w:cs="Tahoma"/>
          <w:sz w:val="23"/>
          <w:szCs w:val="23"/>
        </w:rPr>
        <w:t xml:space="preserve"> and </w:t>
      </w:r>
      <w:r w:rsidR="00084FBD">
        <w:rPr>
          <w:rFonts w:ascii="Tahoma" w:hAnsi="Tahoma" w:cs="Tahoma"/>
          <w:sz w:val="23"/>
          <w:szCs w:val="23"/>
        </w:rPr>
        <w:t xml:space="preserve">difficult </w:t>
      </w:r>
      <w:r w:rsidR="007A5B22">
        <w:rPr>
          <w:rFonts w:ascii="Tahoma" w:hAnsi="Tahoma" w:cs="Tahoma"/>
          <w:sz w:val="23"/>
          <w:szCs w:val="23"/>
        </w:rPr>
        <w:t xml:space="preserve">for employers </w:t>
      </w:r>
      <w:r w:rsidR="00084FBD">
        <w:rPr>
          <w:rFonts w:ascii="Tahoma" w:hAnsi="Tahoma" w:cs="Tahoma"/>
          <w:sz w:val="23"/>
          <w:szCs w:val="23"/>
        </w:rPr>
        <w:t xml:space="preserve">(especially smaller businesses) </w:t>
      </w:r>
      <w:r w:rsidR="007A5B22">
        <w:rPr>
          <w:rFonts w:ascii="Tahoma" w:hAnsi="Tahoma" w:cs="Tahoma"/>
          <w:sz w:val="23"/>
          <w:szCs w:val="23"/>
        </w:rPr>
        <w:t>to commit</w:t>
      </w:r>
      <w:r w:rsidR="00084FBD">
        <w:rPr>
          <w:rFonts w:ascii="Tahoma" w:hAnsi="Tahoma" w:cs="Tahoma"/>
          <w:sz w:val="23"/>
          <w:szCs w:val="23"/>
        </w:rPr>
        <w:t xml:space="preserve"> the staff time</w:t>
      </w:r>
      <w:r w:rsidR="007A5B22">
        <w:rPr>
          <w:rFonts w:ascii="Tahoma" w:hAnsi="Tahoma" w:cs="Tahoma"/>
          <w:sz w:val="23"/>
          <w:szCs w:val="23"/>
        </w:rPr>
        <w:t xml:space="preserve"> to</w:t>
      </w:r>
      <w:r w:rsidRPr="00E834ED">
        <w:rPr>
          <w:rFonts w:ascii="Tahoma" w:hAnsi="Tahoma" w:cs="Tahoma"/>
          <w:sz w:val="23"/>
          <w:szCs w:val="23"/>
        </w:rPr>
        <w:t xml:space="preserve">.  Many land-based learners are not traditionally ‘academic’ and need to build their qualifications in a modular </w:t>
      </w:r>
      <w:proofErr w:type="gramStart"/>
      <w:r w:rsidRPr="00E834ED">
        <w:rPr>
          <w:rFonts w:ascii="Tahoma" w:hAnsi="Tahoma" w:cs="Tahoma"/>
          <w:sz w:val="23"/>
          <w:szCs w:val="23"/>
        </w:rPr>
        <w:t xml:space="preserve">way </w:t>
      </w:r>
      <w:r w:rsidR="00084FBD">
        <w:rPr>
          <w:rFonts w:ascii="Tahoma" w:hAnsi="Tahoma" w:cs="Tahoma"/>
          <w:sz w:val="23"/>
          <w:szCs w:val="23"/>
        </w:rPr>
        <w:t>,</w:t>
      </w:r>
      <w:proofErr w:type="gramEnd"/>
      <w:r w:rsidR="00084FBD">
        <w:rPr>
          <w:rFonts w:ascii="Tahoma" w:hAnsi="Tahoma" w:cs="Tahoma"/>
          <w:sz w:val="23"/>
          <w:szCs w:val="23"/>
        </w:rPr>
        <w:t xml:space="preserve"> being</w:t>
      </w:r>
      <w:r w:rsidRPr="00E834ED">
        <w:rPr>
          <w:rFonts w:ascii="Tahoma" w:hAnsi="Tahoma" w:cs="Tahoma"/>
          <w:sz w:val="23"/>
          <w:szCs w:val="23"/>
        </w:rPr>
        <w:t xml:space="preserve"> equally true for adults and young people.  </w:t>
      </w:r>
      <w:r w:rsidR="006D6EF9">
        <w:rPr>
          <w:rFonts w:ascii="Tahoma" w:hAnsi="Tahoma" w:cs="Tahoma"/>
          <w:sz w:val="23"/>
          <w:szCs w:val="23"/>
        </w:rPr>
        <w:t xml:space="preserve">For many learners this will be their first experience of post school qualifications. </w:t>
      </w:r>
      <w:r w:rsidR="00887EA0">
        <w:rPr>
          <w:rFonts w:ascii="Tahoma" w:hAnsi="Tahoma" w:cs="Tahoma"/>
          <w:sz w:val="23"/>
          <w:szCs w:val="23"/>
        </w:rPr>
        <w:t>This</w:t>
      </w:r>
      <w:r>
        <w:rPr>
          <w:rFonts w:ascii="Tahoma" w:hAnsi="Tahoma" w:cs="Tahoma"/>
          <w:sz w:val="23"/>
          <w:szCs w:val="23"/>
        </w:rPr>
        <w:t xml:space="preserve"> risks </w:t>
      </w:r>
      <w:r w:rsidR="006D6EF9">
        <w:rPr>
          <w:rFonts w:ascii="Tahoma" w:hAnsi="Tahoma" w:cs="Tahoma"/>
          <w:sz w:val="23"/>
          <w:szCs w:val="23"/>
        </w:rPr>
        <w:t>a high drop</w:t>
      </w:r>
      <w:r w:rsidR="00084FBD">
        <w:rPr>
          <w:rFonts w:ascii="Tahoma" w:hAnsi="Tahoma" w:cs="Tahoma"/>
          <w:sz w:val="23"/>
          <w:szCs w:val="23"/>
        </w:rPr>
        <w:t>-out</w:t>
      </w:r>
      <w:r w:rsidR="006D6EF9">
        <w:rPr>
          <w:rFonts w:ascii="Tahoma" w:hAnsi="Tahoma" w:cs="Tahoma"/>
          <w:sz w:val="23"/>
          <w:szCs w:val="23"/>
        </w:rPr>
        <w:t xml:space="preserve"> rate leading to</w:t>
      </w:r>
      <w:r w:rsidR="004D2BFF">
        <w:rPr>
          <w:rFonts w:ascii="Tahoma" w:hAnsi="Tahoma" w:cs="Tahoma"/>
          <w:sz w:val="23"/>
          <w:szCs w:val="23"/>
        </w:rPr>
        <w:t xml:space="preserve"> </w:t>
      </w:r>
      <w:r w:rsidR="00084FBD">
        <w:rPr>
          <w:rFonts w:ascii="Tahoma" w:hAnsi="Tahoma" w:cs="Tahoma"/>
          <w:sz w:val="23"/>
          <w:szCs w:val="23"/>
        </w:rPr>
        <w:t xml:space="preserve">the learner </w:t>
      </w:r>
      <w:r>
        <w:rPr>
          <w:rFonts w:ascii="Tahoma" w:hAnsi="Tahoma" w:cs="Tahoma"/>
          <w:sz w:val="23"/>
          <w:szCs w:val="23"/>
        </w:rPr>
        <w:t>leaving with no qualifications and a negative experience.</w:t>
      </w:r>
    </w:p>
    <w:p w14:paraId="26EDF589" w14:textId="03679CFC" w:rsidR="005C24FE" w:rsidRPr="00E834ED" w:rsidRDefault="00405225" w:rsidP="005C24FE">
      <w:pPr>
        <w:rPr>
          <w:rFonts w:ascii="Tahoma" w:hAnsi="Tahoma" w:cs="Tahoma"/>
          <w:sz w:val="23"/>
          <w:szCs w:val="23"/>
        </w:rPr>
      </w:pPr>
      <w:r>
        <w:rPr>
          <w:rFonts w:ascii="Tahoma" w:hAnsi="Tahoma" w:cs="Tahoma"/>
          <w:sz w:val="23"/>
          <w:szCs w:val="23"/>
        </w:rPr>
        <w:lastRenderedPageBreak/>
        <w:t xml:space="preserve">A wider understanding of their occupational area would be beneficial, but the full route is too broad to be meaningful or of interest to learners who have already specialised in an occupation.  </w:t>
      </w:r>
      <w:r w:rsidR="005C24FE">
        <w:rPr>
          <w:rFonts w:ascii="Tahoma" w:hAnsi="Tahoma" w:cs="Tahoma"/>
          <w:sz w:val="23"/>
          <w:szCs w:val="23"/>
        </w:rPr>
        <w:t>I</w:t>
      </w:r>
      <w:r w:rsidR="005C24FE" w:rsidRPr="00E834ED">
        <w:rPr>
          <w:rFonts w:ascii="Tahoma" w:hAnsi="Tahoma" w:cs="Tahoma"/>
          <w:sz w:val="23"/>
          <w:szCs w:val="23"/>
        </w:rPr>
        <w:t>n the Agriculture</w:t>
      </w:r>
      <w:r w:rsidR="007A5B22">
        <w:rPr>
          <w:rFonts w:ascii="Tahoma" w:hAnsi="Tahoma" w:cs="Tahoma"/>
          <w:sz w:val="23"/>
          <w:szCs w:val="23"/>
        </w:rPr>
        <w:t>,</w:t>
      </w:r>
      <w:r w:rsidR="005C24FE" w:rsidRPr="00E834ED">
        <w:rPr>
          <w:rFonts w:ascii="Tahoma" w:hAnsi="Tahoma" w:cs="Tahoma"/>
          <w:sz w:val="23"/>
          <w:szCs w:val="23"/>
        </w:rPr>
        <w:t xml:space="preserve"> Animal Care and Environment Route, understanding one of the sub sectors (for example horticulture) would be significant</w:t>
      </w:r>
      <w:r w:rsidR="005C24FE">
        <w:rPr>
          <w:rFonts w:ascii="Tahoma" w:hAnsi="Tahoma" w:cs="Tahoma"/>
          <w:sz w:val="23"/>
          <w:szCs w:val="23"/>
        </w:rPr>
        <w:t xml:space="preserve"> learning as it has five major sub sectors and numerous smaller specialisms</w:t>
      </w:r>
      <w:r w:rsidR="005C24FE" w:rsidRPr="00E834ED">
        <w:rPr>
          <w:rFonts w:ascii="Tahoma" w:hAnsi="Tahoma" w:cs="Tahoma"/>
          <w:sz w:val="23"/>
          <w:szCs w:val="23"/>
        </w:rPr>
        <w:t xml:space="preserve">.  </w:t>
      </w:r>
      <w:r>
        <w:rPr>
          <w:rFonts w:ascii="Tahoma" w:hAnsi="Tahoma" w:cs="Tahoma"/>
          <w:sz w:val="23"/>
          <w:szCs w:val="23"/>
        </w:rPr>
        <w:t xml:space="preserve">The full route would cover diverse occupational areas from </w:t>
      </w:r>
      <w:r w:rsidRPr="00E834ED">
        <w:rPr>
          <w:rFonts w:ascii="Tahoma" w:hAnsi="Tahoma" w:cs="Tahoma"/>
          <w:sz w:val="23"/>
          <w:szCs w:val="23"/>
        </w:rPr>
        <w:t>land-based</w:t>
      </w:r>
      <w:r w:rsidR="005C24FE" w:rsidRPr="00E834ED">
        <w:rPr>
          <w:rFonts w:ascii="Tahoma" w:hAnsi="Tahoma" w:cs="Tahoma"/>
          <w:sz w:val="23"/>
          <w:szCs w:val="23"/>
        </w:rPr>
        <w:t xml:space="preserve"> engineering</w:t>
      </w:r>
      <w:r>
        <w:rPr>
          <w:rFonts w:ascii="Tahoma" w:hAnsi="Tahoma" w:cs="Tahoma"/>
          <w:sz w:val="23"/>
          <w:szCs w:val="23"/>
        </w:rPr>
        <w:t xml:space="preserve"> to</w:t>
      </w:r>
      <w:r w:rsidR="005C24FE" w:rsidRPr="00E834ED">
        <w:rPr>
          <w:rFonts w:ascii="Tahoma" w:hAnsi="Tahoma" w:cs="Tahoma"/>
          <w:sz w:val="23"/>
          <w:szCs w:val="23"/>
        </w:rPr>
        <w:t xml:space="preserve"> veterinary nursing</w:t>
      </w:r>
      <w:r>
        <w:rPr>
          <w:rFonts w:ascii="Tahoma" w:hAnsi="Tahoma" w:cs="Tahoma"/>
          <w:sz w:val="23"/>
          <w:szCs w:val="23"/>
        </w:rPr>
        <w:t xml:space="preserve">, agriculture, </w:t>
      </w:r>
      <w:proofErr w:type="gramStart"/>
      <w:r>
        <w:rPr>
          <w:rFonts w:ascii="Tahoma" w:hAnsi="Tahoma" w:cs="Tahoma"/>
          <w:sz w:val="23"/>
          <w:szCs w:val="23"/>
        </w:rPr>
        <w:t>forestry</w:t>
      </w:r>
      <w:proofErr w:type="gramEnd"/>
      <w:r w:rsidR="005C24FE" w:rsidRPr="00E834ED">
        <w:rPr>
          <w:rFonts w:ascii="Tahoma" w:hAnsi="Tahoma" w:cs="Tahoma"/>
          <w:sz w:val="23"/>
          <w:szCs w:val="23"/>
        </w:rPr>
        <w:t xml:space="preserve"> and floristry.  </w:t>
      </w:r>
      <w:r w:rsidR="005C24FE">
        <w:rPr>
          <w:rFonts w:ascii="Tahoma" w:hAnsi="Tahoma" w:cs="Tahoma"/>
          <w:sz w:val="23"/>
          <w:szCs w:val="23"/>
        </w:rPr>
        <w:t xml:space="preserve">It also risks learners </w:t>
      </w:r>
      <w:r>
        <w:rPr>
          <w:rFonts w:ascii="Tahoma" w:hAnsi="Tahoma" w:cs="Tahoma"/>
          <w:sz w:val="23"/>
          <w:szCs w:val="23"/>
        </w:rPr>
        <w:t>losing</w:t>
      </w:r>
      <w:r w:rsidR="005C24FE">
        <w:rPr>
          <w:rFonts w:ascii="Tahoma" w:hAnsi="Tahoma" w:cs="Tahoma"/>
          <w:sz w:val="23"/>
          <w:szCs w:val="23"/>
        </w:rPr>
        <w:t xml:space="preserve"> interest as someone who wants to do floristry is unlikely to want to know much about forestry or agriculture. </w:t>
      </w:r>
    </w:p>
    <w:p w14:paraId="6CCAA2A2" w14:textId="77777777" w:rsidR="00F6266E" w:rsidRPr="005C24FE" w:rsidRDefault="00F6266E" w:rsidP="00F6266E">
      <w:pPr>
        <w:rPr>
          <w:rFonts w:ascii="Tahoma" w:hAnsi="Tahoma" w:cs="Tahoma"/>
          <w:i/>
          <w:iCs/>
          <w:sz w:val="23"/>
          <w:szCs w:val="23"/>
        </w:rPr>
      </w:pPr>
      <w:r w:rsidRPr="005C24FE">
        <w:rPr>
          <w:rFonts w:ascii="Tahoma" w:hAnsi="Tahoma" w:cs="Tahoma"/>
          <w:i/>
          <w:iCs/>
          <w:sz w:val="23"/>
          <w:szCs w:val="23"/>
        </w:rPr>
        <w:t xml:space="preserve">8. For </w:t>
      </w:r>
      <w:proofErr w:type="gramStart"/>
      <w:r w:rsidRPr="005C24FE">
        <w:rPr>
          <w:rFonts w:ascii="Tahoma" w:hAnsi="Tahoma" w:cs="Tahoma"/>
          <w:i/>
          <w:iCs/>
          <w:sz w:val="23"/>
          <w:szCs w:val="23"/>
        </w:rPr>
        <w:t>16 to 19 year olds</w:t>
      </w:r>
      <w:proofErr w:type="gramEnd"/>
      <w:r w:rsidRPr="005C24FE">
        <w:rPr>
          <w:rFonts w:ascii="Tahoma" w:hAnsi="Tahoma" w:cs="Tahoma"/>
          <w:i/>
          <w:iCs/>
          <w:sz w:val="23"/>
          <w:szCs w:val="23"/>
        </w:rPr>
        <w:t xml:space="preserve"> aiming to enter employment in an occupation at level 2, do you agree that the main qualification offer that should be available is</w:t>
      </w:r>
    </w:p>
    <w:p w14:paraId="34CE1F55" w14:textId="77777777" w:rsidR="00F6266E" w:rsidRPr="00E834ED" w:rsidRDefault="00F6266E" w:rsidP="00F6266E">
      <w:pPr>
        <w:pStyle w:val="ListParagraph"/>
        <w:numPr>
          <w:ilvl w:val="0"/>
          <w:numId w:val="1"/>
        </w:numPr>
        <w:rPr>
          <w:rFonts w:ascii="Tahoma" w:hAnsi="Tahoma" w:cs="Tahoma"/>
          <w:sz w:val="23"/>
          <w:szCs w:val="23"/>
        </w:rPr>
      </w:pPr>
      <w:r w:rsidRPr="00E834ED">
        <w:rPr>
          <w:rFonts w:ascii="Tahoma" w:hAnsi="Tahoma" w:cs="Tahoma"/>
          <w:sz w:val="23"/>
          <w:szCs w:val="23"/>
        </w:rPr>
        <w:t>Option A: Group 2 qualifications only</w:t>
      </w:r>
    </w:p>
    <w:p w14:paraId="6294D91E" w14:textId="77777777" w:rsidR="00F6266E" w:rsidRPr="00E834ED" w:rsidRDefault="00F6266E" w:rsidP="00F6266E">
      <w:pPr>
        <w:pStyle w:val="ListParagraph"/>
        <w:numPr>
          <w:ilvl w:val="0"/>
          <w:numId w:val="1"/>
        </w:numPr>
        <w:rPr>
          <w:rFonts w:ascii="Tahoma" w:hAnsi="Tahoma" w:cs="Tahoma"/>
          <w:b/>
          <w:bCs/>
          <w:sz w:val="23"/>
          <w:szCs w:val="23"/>
        </w:rPr>
      </w:pPr>
      <w:r w:rsidRPr="00E834ED">
        <w:rPr>
          <w:rFonts w:ascii="Tahoma" w:hAnsi="Tahoma" w:cs="Tahoma"/>
          <w:b/>
          <w:bCs/>
          <w:sz w:val="23"/>
          <w:szCs w:val="23"/>
        </w:rPr>
        <w:t>Option B: Group 2 qualifications and the alternative of taking two smaller occupational-focus qualifications from group 3 (around 350 GLH) in two different occupational routes?</w:t>
      </w:r>
    </w:p>
    <w:p w14:paraId="035A3A8E" w14:textId="77777777" w:rsidR="00F6266E" w:rsidRPr="005C24FE" w:rsidRDefault="00F6266E" w:rsidP="00F6266E">
      <w:pPr>
        <w:rPr>
          <w:rFonts w:ascii="Tahoma" w:hAnsi="Tahoma" w:cs="Tahoma"/>
          <w:i/>
          <w:iCs/>
          <w:sz w:val="23"/>
          <w:szCs w:val="23"/>
        </w:rPr>
      </w:pPr>
      <w:r w:rsidRPr="005C24FE">
        <w:rPr>
          <w:rFonts w:ascii="Tahoma" w:hAnsi="Tahoma" w:cs="Tahoma"/>
          <w:i/>
          <w:iCs/>
          <w:sz w:val="23"/>
          <w:szCs w:val="23"/>
        </w:rPr>
        <w:t>Please give reasons for your answer</w:t>
      </w:r>
    </w:p>
    <w:p w14:paraId="37850738" w14:textId="03700B8C" w:rsidR="00F6266E" w:rsidRPr="00E834ED" w:rsidRDefault="00F6266E" w:rsidP="00F6266E">
      <w:pPr>
        <w:rPr>
          <w:rFonts w:ascii="Tahoma" w:hAnsi="Tahoma" w:cs="Tahoma"/>
          <w:sz w:val="23"/>
          <w:szCs w:val="23"/>
        </w:rPr>
      </w:pPr>
      <w:r w:rsidRPr="00E834ED">
        <w:rPr>
          <w:rFonts w:ascii="Tahoma" w:hAnsi="Tahoma" w:cs="Tahoma"/>
          <w:sz w:val="23"/>
          <w:szCs w:val="23"/>
        </w:rPr>
        <w:t xml:space="preserve">Two smaller qualifications </w:t>
      </w:r>
      <w:proofErr w:type="gramStart"/>
      <w:r w:rsidR="004D2BFF">
        <w:rPr>
          <w:rFonts w:ascii="Tahoma" w:hAnsi="Tahoma" w:cs="Tahoma"/>
          <w:sz w:val="23"/>
          <w:szCs w:val="23"/>
        </w:rPr>
        <w:t>provides</w:t>
      </w:r>
      <w:proofErr w:type="gramEnd"/>
      <w:r w:rsidRPr="00E834ED">
        <w:rPr>
          <w:rFonts w:ascii="Tahoma" w:hAnsi="Tahoma" w:cs="Tahoma"/>
          <w:sz w:val="23"/>
          <w:szCs w:val="23"/>
        </w:rPr>
        <w:t xml:space="preserve"> flexibility, particularly in land-based where occupations tend not to be clearly defined and some roles do not fit neatly onto the occupational map.  It would also enable learners to get one qualification completed</w:t>
      </w:r>
      <w:r w:rsidR="00F6373A">
        <w:rPr>
          <w:rFonts w:ascii="Tahoma" w:hAnsi="Tahoma" w:cs="Tahoma"/>
          <w:sz w:val="23"/>
          <w:szCs w:val="23"/>
        </w:rPr>
        <w:t>,</w:t>
      </w:r>
      <w:r w:rsidRPr="00E834ED">
        <w:rPr>
          <w:rFonts w:ascii="Tahoma" w:hAnsi="Tahoma" w:cs="Tahoma"/>
          <w:sz w:val="23"/>
          <w:szCs w:val="23"/>
        </w:rPr>
        <w:t xml:space="preserve"> before doing a second one</w:t>
      </w:r>
      <w:r w:rsidR="00F6373A">
        <w:rPr>
          <w:rFonts w:ascii="Tahoma" w:hAnsi="Tahoma" w:cs="Tahoma"/>
          <w:sz w:val="23"/>
          <w:szCs w:val="23"/>
        </w:rPr>
        <w:t>.  This</w:t>
      </w:r>
      <w:r w:rsidRPr="00E834ED">
        <w:rPr>
          <w:rFonts w:ascii="Tahoma" w:hAnsi="Tahoma" w:cs="Tahoma"/>
          <w:sz w:val="23"/>
          <w:szCs w:val="23"/>
        </w:rPr>
        <w:t xml:space="preserve"> might be less daunting and more lik</w:t>
      </w:r>
      <w:r w:rsidR="00084FBD">
        <w:rPr>
          <w:rFonts w:ascii="Tahoma" w:hAnsi="Tahoma" w:cs="Tahoma"/>
          <w:sz w:val="23"/>
          <w:szCs w:val="23"/>
        </w:rPr>
        <w:t>e</w:t>
      </w:r>
      <w:r w:rsidRPr="00E834ED">
        <w:rPr>
          <w:rFonts w:ascii="Tahoma" w:hAnsi="Tahoma" w:cs="Tahoma"/>
          <w:sz w:val="23"/>
          <w:szCs w:val="23"/>
        </w:rPr>
        <w:t>ly to succeed</w:t>
      </w:r>
      <w:r w:rsidR="004D2BFF">
        <w:rPr>
          <w:rFonts w:ascii="Tahoma" w:hAnsi="Tahoma" w:cs="Tahoma"/>
          <w:sz w:val="23"/>
          <w:szCs w:val="23"/>
        </w:rPr>
        <w:t>,</w:t>
      </w:r>
      <w:r w:rsidR="00084FBD">
        <w:rPr>
          <w:rFonts w:ascii="Tahoma" w:hAnsi="Tahoma" w:cs="Tahoma"/>
          <w:sz w:val="23"/>
          <w:szCs w:val="23"/>
        </w:rPr>
        <w:t xml:space="preserve"> thereby</w:t>
      </w:r>
      <w:r w:rsidR="004D2BFF">
        <w:rPr>
          <w:rFonts w:ascii="Tahoma" w:hAnsi="Tahoma" w:cs="Tahoma"/>
          <w:sz w:val="23"/>
          <w:szCs w:val="23"/>
        </w:rPr>
        <w:t xml:space="preserve"> reducing dropout rates</w:t>
      </w:r>
      <w:r w:rsidRPr="00E834ED">
        <w:rPr>
          <w:rFonts w:ascii="Tahoma" w:hAnsi="Tahoma" w:cs="Tahoma"/>
          <w:sz w:val="23"/>
          <w:szCs w:val="23"/>
        </w:rPr>
        <w:t xml:space="preserve">.  </w:t>
      </w:r>
      <w:r w:rsidR="004D2BFF">
        <w:rPr>
          <w:rFonts w:ascii="Tahoma" w:hAnsi="Tahoma" w:cs="Tahoma"/>
          <w:sz w:val="23"/>
          <w:szCs w:val="23"/>
        </w:rPr>
        <w:t xml:space="preserve">This is a </w:t>
      </w:r>
      <w:r w:rsidRPr="00E834ED">
        <w:rPr>
          <w:rFonts w:ascii="Tahoma" w:hAnsi="Tahoma" w:cs="Tahoma"/>
          <w:sz w:val="23"/>
          <w:szCs w:val="23"/>
        </w:rPr>
        <w:t xml:space="preserve">large amount of learning for </w:t>
      </w:r>
      <w:r w:rsidR="004D2BFF">
        <w:rPr>
          <w:rFonts w:ascii="Tahoma" w:hAnsi="Tahoma" w:cs="Tahoma"/>
          <w:sz w:val="23"/>
          <w:szCs w:val="23"/>
        </w:rPr>
        <w:t xml:space="preserve">most </w:t>
      </w:r>
      <w:r w:rsidRPr="00E834ED">
        <w:rPr>
          <w:rFonts w:ascii="Tahoma" w:hAnsi="Tahoma" w:cs="Tahoma"/>
          <w:sz w:val="23"/>
          <w:szCs w:val="23"/>
        </w:rPr>
        <w:t xml:space="preserve">learners – one 350 GLH qualification would normally be sufficient to train for an occupation in horticulture, </w:t>
      </w:r>
      <w:proofErr w:type="gramStart"/>
      <w:r w:rsidRPr="00E834ED">
        <w:rPr>
          <w:rFonts w:ascii="Tahoma" w:hAnsi="Tahoma" w:cs="Tahoma"/>
          <w:sz w:val="23"/>
          <w:szCs w:val="23"/>
        </w:rPr>
        <w:t>arboriculture</w:t>
      </w:r>
      <w:proofErr w:type="gramEnd"/>
      <w:r w:rsidRPr="00E834ED">
        <w:rPr>
          <w:rFonts w:ascii="Tahoma" w:hAnsi="Tahoma" w:cs="Tahoma"/>
          <w:sz w:val="23"/>
          <w:szCs w:val="23"/>
        </w:rPr>
        <w:t xml:space="preserve"> or forestry.  Two would equate to 700 GLH</w:t>
      </w:r>
      <w:r w:rsidR="004D2BFF">
        <w:rPr>
          <w:rFonts w:ascii="Tahoma" w:hAnsi="Tahoma" w:cs="Tahoma"/>
          <w:sz w:val="23"/>
          <w:szCs w:val="23"/>
        </w:rPr>
        <w:t xml:space="preserve"> – much larger than this</w:t>
      </w:r>
      <w:r w:rsidRPr="00E834ED">
        <w:rPr>
          <w:rFonts w:ascii="Tahoma" w:hAnsi="Tahoma" w:cs="Tahoma"/>
          <w:sz w:val="23"/>
          <w:szCs w:val="23"/>
        </w:rPr>
        <w:t xml:space="preserve">.  </w:t>
      </w:r>
      <w:r w:rsidR="00215F02">
        <w:rPr>
          <w:rFonts w:ascii="Tahoma" w:hAnsi="Tahoma" w:cs="Tahoma"/>
          <w:sz w:val="23"/>
          <w:szCs w:val="23"/>
        </w:rPr>
        <w:t xml:space="preserve">An example of a valued qualification at this size is </w:t>
      </w:r>
      <w:r w:rsidR="004D2BFF">
        <w:rPr>
          <w:rFonts w:ascii="Tahoma" w:hAnsi="Tahoma" w:cs="Tahoma"/>
          <w:sz w:val="23"/>
          <w:szCs w:val="23"/>
        </w:rPr>
        <w:t xml:space="preserve">the </w:t>
      </w:r>
      <w:r w:rsidR="00215F02" w:rsidRPr="00E834ED">
        <w:rPr>
          <w:rFonts w:ascii="Tahoma" w:hAnsi="Tahoma" w:cs="Tahoma"/>
          <w:sz w:val="23"/>
          <w:szCs w:val="23"/>
        </w:rPr>
        <w:t xml:space="preserve">RHS Level 2 Certificate in The Principles </w:t>
      </w:r>
      <w:r w:rsidR="00215F02">
        <w:rPr>
          <w:rFonts w:ascii="Tahoma" w:hAnsi="Tahoma" w:cs="Tahoma"/>
          <w:sz w:val="23"/>
          <w:szCs w:val="23"/>
        </w:rPr>
        <w:t xml:space="preserve">and Practices of Horticulture (240GLH).  This would be sufficient for learners to achieve skilled employment.  </w:t>
      </w:r>
    </w:p>
    <w:p w14:paraId="0572BA93"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 xml:space="preserve">9. Do you agree that these qualifications should be delivered to </w:t>
      </w:r>
      <w:proofErr w:type="gramStart"/>
      <w:r w:rsidRPr="00300531">
        <w:rPr>
          <w:rFonts w:ascii="Tahoma" w:hAnsi="Tahoma" w:cs="Tahoma"/>
          <w:i/>
          <w:iCs/>
          <w:sz w:val="23"/>
          <w:szCs w:val="23"/>
        </w:rPr>
        <w:t>16 to 19 year olds</w:t>
      </w:r>
      <w:proofErr w:type="gramEnd"/>
      <w:r w:rsidRPr="00300531">
        <w:rPr>
          <w:rFonts w:ascii="Tahoma" w:hAnsi="Tahoma" w:cs="Tahoma"/>
          <w:i/>
          <w:iCs/>
          <w:sz w:val="23"/>
          <w:szCs w:val="23"/>
        </w:rPr>
        <w:t xml:space="preserve"> over two academic years as part of a wider study programme leading to employment?</w:t>
      </w:r>
    </w:p>
    <w:p w14:paraId="1D6C5AF8" w14:textId="5F417FC9" w:rsidR="00F6266E" w:rsidRPr="00E834ED" w:rsidRDefault="006D6EF9" w:rsidP="00F6266E">
      <w:pPr>
        <w:rPr>
          <w:rFonts w:ascii="Tahoma" w:hAnsi="Tahoma" w:cs="Tahoma"/>
          <w:sz w:val="23"/>
          <w:szCs w:val="23"/>
        </w:rPr>
      </w:pPr>
      <w:r>
        <w:rPr>
          <w:rFonts w:ascii="Tahoma" w:hAnsi="Tahoma" w:cs="Tahoma"/>
          <w:sz w:val="23"/>
          <w:szCs w:val="23"/>
        </w:rPr>
        <w:t>No</w:t>
      </w:r>
    </w:p>
    <w:p w14:paraId="60EA8D18" w14:textId="1E437CFB" w:rsidR="00F6266E" w:rsidRDefault="00F6266E" w:rsidP="00F6266E">
      <w:pPr>
        <w:rPr>
          <w:rFonts w:ascii="Tahoma" w:hAnsi="Tahoma" w:cs="Tahoma"/>
          <w:i/>
          <w:iCs/>
          <w:sz w:val="23"/>
          <w:szCs w:val="23"/>
        </w:rPr>
      </w:pPr>
      <w:r w:rsidRPr="00300531">
        <w:rPr>
          <w:rFonts w:ascii="Tahoma" w:hAnsi="Tahoma" w:cs="Tahoma"/>
          <w:i/>
          <w:iCs/>
          <w:sz w:val="23"/>
          <w:szCs w:val="23"/>
        </w:rPr>
        <w:t>Please give reasons for your answer</w:t>
      </w:r>
    </w:p>
    <w:p w14:paraId="1E1E765D" w14:textId="7FF2E93F" w:rsidR="00300531" w:rsidRPr="00300531" w:rsidRDefault="006D6EF9" w:rsidP="00F6266E">
      <w:pPr>
        <w:rPr>
          <w:rFonts w:ascii="Tahoma" w:hAnsi="Tahoma" w:cs="Tahoma"/>
          <w:sz w:val="23"/>
          <w:szCs w:val="23"/>
        </w:rPr>
      </w:pPr>
      <w:r>
        <w:rPr>
          <w:rFonts w:ascii="Tahoma" w:hAnsi="Tahoma" w:cs="Tahoma"/>
          <w:sz w:val="23"/>
          <w:szCs w:val="23"/>
        </w:rPr>
        <w:t xml:space="preserve">Two years study is absolutely fine, but they can still gain enough skills to be useful in the workforce in one year.  Many learners prefer to do a </w:t>
      </w:r>
      <w:r w:rsidR="004D2BFF">
        <w:rPr>
          <w:rFonts w:ascii="Tahoma" w:hAnsi="Tahoma" w:cs="Tahoma"/>
          <w:sz w:val="23"/>
          <w:szCs w:val="23"/>
        </w:rPr>
        <w:t>one-year</w:t>
      </w:r>
      <w:r>
        <w:rPr>
          <w:rFonts w:ascii="Tahoma" w:hAnsi="Tahoma" w:cs="Tahoma"/>
          <w:sz w:val="23"/>
          <w:szCs w:val="23"/>
        </w:rPr>
        <w:t xml:space="preserve"> course and </w:t>
      </w:r>
      <w:r w:rsidR="00F6373A">
        <w:rPr>
          <w:rFonts w:ascii="Tahoma" w:hAnsi="Tahoma" w:cs="Tahoma"/>
          <w:sz w:val="23"/>
          <w:szCs w:val="23"/>
        </w:rPr>
        <w:t xml:space="preserve">then </w:t>
      </w:r>
      <w:r>
        <w:rPr>
          <w:rFonts w:ascii="Tahoma" w:hAnsi="Tahoma" w:cs="Tahoma"/>
          <w:sz w:val="23"/>
          <w:szCs w:val="23"/>
        </w:rPr>
        <w:t xml:space="preserve">go into the workforce rather than committing to two years of study.  </w:t>
      </w:r>
    </w:p>
    <w:p w14:paraId="5AD86A1D"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If you believe there are any groups of students or occupational routes for which a substantial qualification taken as part of a two-year programme would be unsuitable, please provide details</w:t>
      </w:r>
    </w:p>
    <w:p w14:paraId="3B6BC2C3" w14:textId="53FE21A2" w:rsidR="00F6266E" w:rsidRPr="00E834ED" w:rsidRDefault="00CE2556" w:rsidP="00F6266E">
      <w:pPr>
        <w:rPr>
          <w:rFonts w:ascii="Tahoma" w:hAnsi="Tahoma" w:cs="Tahoma"/>
          <w:sz w:val="23"/>
          <w:szCs w:val="23"/>
        </w:rPr>
      </w:pPr>
      <w:r>
        <w:rPr>
          <w:rFonts w:ascii="Tahoma" w:hAnsi="Tahoma" w:cs="Tahoma"/>
          <w:sz w:val="23"/>
          <w:szCs w:val="23"/>
        </w:rPr>
        <w:t>Learners of any age who have had negative experiences of learning</w:t>
      </w:r>
      <w:r w:rsidR="004D2BFF">
        <w:rPr>
          <w:rFonts w:ascii="Tahoma" w:hAnsi="Tahoma" w:cs="Tahoma"/>
          <w:sz w:val="23"/>
          <w:szCs w:val="23"/>
        </w:rPr>
        <w:t>,</w:t>
      </w:r>
      <w:r>
        <w:rPr>
          <w:rFonts w:ascii="Tahoma" w:hAnsi="Tahoma" w:cs="Tahoma"/>
          <w:sz w:val="23"/>
          <w:szCs w:val="23"/>
        </w:rPr>
        <w:t xml:space="preserve"> or who are reluctant to learn will find this a very daunting undertaking in one qualification.  Adult career changers and those returning to learning after time in industry will also find this a lot to commit to in one go.  It is very common in our sector to complete a shorter programme of learning and then ‘top up’ to the larger programme.  Also, some will hope to do the longer programme but find it very </w:t>
      </w:r>
      <w:proofErr w:type="gramStart"/>
      <w:r>
        <w:rPr>
          <w:rFonts w:ascii="Tahoma" w:hAnsi="Tahoma" w:cs="Tahoma"/>
          <w:sz w:val="23"/>
          <w:szCs w:val="23"/>
        </w:rPr>
        <w:t>difficult, but</w:t>
      </w:r>
      <w:proofErr w:type="gramEnd"/>
      <w:r>
        <w:rPr>
          <w:rFonts w:ascii="Tahoma" w:hAnsi="Tahoma" w:cs="Tahoma"/>
          <w:sz w:val="23"/>
          <w:szCs w:val="23"/>
        </w:rPr>
        <w:t xml:space="preserve"> can still complete the shorter qualification so they leave with a </w:t>
      </w:r>
      <w:r w:rsidR="00BE06EB">
        <w:rPr>
          <w:rFonts w:ascii="Tahoma" w:hAnsi="Tahoma" w:cs="Tahoma"/>
          <w:sz w:val="23"/>
          <w:szCs w:val="23"/>
        </w:rPr>
        <w:t>certificate</w:t>
      </w:r>
      <w:r>
        <w:rPr>
          <w:rFonts w:ascii="Tahoma" w:hAnsi="Tahoma" w:cs="Tahoma"/>
          <w:sz w:val="23"/>
          <w:szCs w:val="23"/>
        </w:rPr>
        <w:t xml:space="preserve"> that reflects the amount of learning that they achieved.  </w:t>
      </w:r>
    </w:p>
    <w:p w14:paraId="646FC249" w14:textId="6EAAAD26" w:rsidR="000437AF" w:rsidRPr="00E834ED" w:rsidRDefault="00ED3678" w:rsidP="000365FE">
      <w:pPr>
        <w:pStyle w:val="Heading1"/>
      </w:pPr>
      <w:bookmarkStart w:id="3" w:name="_Toc99562946"/>
      <w:r w:rsidRPr="00E834ED">
        <w:t>Group 4: Specialist qualifications</w:t>
      </w:r>
      <w:bookmarkEnd w:id="3"/>
    </w:p>
    <w:p w14:paraId="04BA4A34" w14:textId="77777777" w:rsidR="00ED3678" w:rsidRPr="00E834ED" w:rsidRDefault="00ED3678"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lastRenderedPageBreak/>
        <w:t>Focus on specialist skills and knowledge which are not included in the level 2 occupational standard but are recognised by employers as adding value to an individual’s career prospects by providing additional specialist competence</w:t>
      </w:r>
    </w:p>
    <w:p w14:paraId="79BD71E5" w14:textId="77777777" w:rsidR="00ED3678" w:rsidRPr="00E834ED" w:rsidRDefault="00ED3678"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 Be available to both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 who are working towards (or have already gained) entry-level competence in a level 2 occupation</w:t>
      </w:r>
    </w:p>
    <w:p w14:paraId="73C7698E" w14:textId="77777777" w:rsidR="00ED3678" w:rsidRPr="00E834ED" w:rsidRDefault="00ED3678"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small to medium in size, with a guideline maximum of 200 GLH</w:t>
      </w:r>
    </w:p>
    <w:p w14:paraId="44296718" w14:textId="77777777" w:rsidR="00ED3678" w:rsidRPr="00E834ED" w:rsidRDefault="00ED3678"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1B2F3B7F" w14:textId="4DC4E1B5" w:rsidR="000437AF" w:rsidRPr="00E834ED" w:rsidRDefault="00ED3678"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A qualification in nutrition in early years and childcare settings, providing more specialist skills and knowledge in nutrition which go beyond that covered in the ‘early years practitioner’ standard.</w:t>
      </w:r>
    </w:p>
    <w:p w14:paraId="6A9E5CAA"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10. Do you agree that we should fund specialist qualifications at level 2?</w:t>
      </w:r>
    </w:p>
    <w:p w14:paraId="5855C810" w14:textId="77777777" w:rsidR="00F6266E" w:rsidRPr="00E834ED" w:rsidRDefault="00F6266E" w:rsidP="00F6266E">
      <w:pPr>
        <w:rPr>
          <w:rFonts w:ascii="Tahoma" w:hAnsi="Tahoma" w:cs="Tahoma"/>
          <w:sz w:val="23"/>
          <w:szCs w:val="23"/>
        </w:rPr>
      </w:pPr>
      <w:r w:rsidRPr="00E834ED">
        <w:rPr>
          <w:rFonts w:ascii="Tahoma" w:hAnsi="Tahoma" w:cs="Tahoma"/>
          <w:sz w:val="23"/>
          <w:szCs w:val="23"/>
        </w:rPr>
        <w:t xml:space="preserve"> Yes</w:t>
      </w:r>
    </w:p>
    <w:p w14:paraId="64A8A6B0" w14:textId="4CA7E877" w:rsidR="00C1070E" w:rsidRDefault="00F6266E" w:rsidP="00F6266E">
      <w:pPr>
        <w:rPr>
          <w:rFonts w:ascii="Tahoma" w:hAnsi="Tahoma" w:cs="Tahoma"/>
          <w:i/>
          <w:iCs/>
          <w:sz w:val="23"/>
          <w:szCs w:val="23"/>
        </w:rPr>
      </w:pPr>
      <w:r w:rsidRPr="00300531">
        <w:rPr>
          <w:rFonts w:ascii="Tahoma" w:hAnsi="Tahoma" w:cs="Tahoma"/>
          <w:i/>
          <w:iCs/>
          <w:sz w:val="23"/>
          <w:szCs w:val="23"/>
        </w:rPr>
        <w:t>If you agree, are there any examples of qualifications that you think might fall into this group?</w:t>
      </w:r>
    </w:p>
    <w:p w14:paraId="550BCEAC" w14:textId="4320A127" w:rsidR="007C195B" w:rsidRDefault="00FC2874" w:rsidP="00F6266E">
      <w:pPr>
        <w:rPr>
          <w:rFonts w:ascii="Tahoma" w:hAnsi="Tahoma" w:cs="Tahoma"/>
          <w:sz w:val="23"/>
          <w:szCs w:val="23"/>
        </w:rPr>
      </w:pPr>
      <w:r>
        <w:rPr>
          <w:rFonts w:ascii="Tahoma" w:hAnsi="Tahoma" w:cs="Tahoma"/>
          <w:sz w:val="23"/>
          <w:szCs w:val="23"/>
        </w:rPr>
        <w:t xml:space="preserve">There are examples such as green roofs, artificial turf installation, tree inspection.  Currently this need is </w:t>
      </w:r>
      <w:r w:rsidR="007C195B">
        <w:rPr>
          <w:rFonts w:ascii="Tahoma" w:hAnsi="Tahoma" w:cs="Tahoma"/>
          <w:sz w:val="23"/>
          <w:szCs w:val="23"/>
        </w:rPr>
        <w:t xml:space="preserve">also </w:t>
      </w:r>
      <w:r>
        <w:rPr>
          <w:rFonts w:ascii="Tahoma" w:hAnsi="Tahoma" w:cs="Tahoma"/>
          <w:sz w:val="23"/>
          <w:szCs w:val="23"/>
        </w:rPr>
        <w:t xml:space="preserve">met through contextualised qualifications (RHS Qualifications) or through additional options in our larger qualifications </w:t>
      </w:r>
      <w:r w:rsidR="007C195B">
        <w:rPr>
          <w:rFonts w:ascii="Tahoma" w:hAnsi="Tahoma" w:cs="Tahoma"/>
          <w:sz w:val="23"/>
          <w:szCs w:val="23"/>
        </w:rPr>
        <w:t>(</w:t>
      </w:r>
      <w:proofErr w:type="gramStart"/>
      <w:r w:rsidR="007C195B">
        <w:rPr>
          <w:rFonts w:ascii="Tahoma" w:hAnsi="Tahoma" w:cs="Tahoma"/>
          <w:sz w:val="23"/>
          <w:szCs w:val="23"/>
        </w:rPr>
        <w:t>e.g.</w:t>
      </w:r>
      <w:proofErr w:type="gramEnd"/>
      <w:r w:rsidR="007C195B">
        <w:rPr>
          <w:rFonts w:ascii="Tahoma" w:hAnsi="Tahoma" w:cs="Tahoma"/>
          <w:sz w:val="23"/>
          <w:szCs w:val="23"/>
        </w:rPr>
        <w:t xml:space="preserve"> City &amp; Guilds </w:t>
      </w:r>
      <w:proofErr w:type="spellStart"/>
      <w:r w:rsidR="007C195B">
        <w:rPr>
          <w:rFonts w:ascii="Tahoma" w:hAnsi="Tahoma" w:cs="Tahoma"/>
          <w:sz w:val="23"/>
          <w:szCs w:val="23"/>
        </w:rPr>
        <w:t>Technicals</w:t>
      </w:r>
      <w:proofErr w:type="spellEnd"/>
      <w:r w:rsidR="007C195B">
        <w:rPr>
          <w:rFonts w:ascii="Tahoma" w:hAnsi="Tahoma" w:cs="Tahoma"/>
          <w:sz w:val="23"/>
          <w:szCs w:val="23"/>
        </w:rPr>
        <w:t xml:space="preserve"> or BETCs).  Examples of specialisms might include </w:t>
      </w:r>
      <w:r w:rsidR="00C1070E" w:rsidRPr="00E834ED">
        <w:rPr>
          <w:rFonts w:ascii="Tahoma" w:hAnsi="Tahoma" w:cs="Tahoma"/>
          <w:sz w:val="23"/>
          <w:szCs w:val="23"/>
        </w:rPr>
        <w:t>heritage gardening,</w:t>
      </w:r>
      <w:r w:rsidR="008709B5">
        <w:rPr>
          <w:rFonts w:ascii="Tahoma" w:hAnsi="Tahoma" w:cs="Tahoma"/>
          <w:sz w:val="23"/>
          <w:szCs w:val="23"/>
        </w:rPr>
        <w:t xml:space="preserve"> garden design, horticultural therapy, </w:t>
      </w:r>
      <w:r w:rsidR="00BE06EB">
        <w:rPr>
          <w:rFonts w:ascii="Tahoma" w:hAnsi="Tahoma" w:cs="Tahoma"/>
          <w:sz w:val="23"/>
          <w:szCs w:val="23"/>
        </w:rPr>
        <w:t xml:space="preserve">retail horticulture, green roofs, hydroponics, </w:t>
      </w:r>
      <w:r w:rsidR="00C1070E" w:rsidRPr="00E834ED">
        <w:rPr>
          <w:rFonts w:ascii="Tahoma" w:hAnsi="Tahoma" w:cs="Tahoma"/>
          <w:sz w:val="23"/>
          <w:szCs w:val="23"/>
        </w:rPr>
        <w:t xml:space="preserve">kitchen gardens </w:t>
      </w:r>
      <w:r w:rsidR="00C1070E">
        <w:rPr>
          <w:rFonts w:ascii="Tahoma" w:hAnsi="Tahoma" w:cs="Tahoma"/>
          <w:sz w:val="23"/>
          <w:szCs w:val="23"/>
        </w:rPr>
        <w:t>or</w:t>
      </w:r>
      <w:r w:rsidR="00C1070E" w:rsidRPr="00E834ED">
        <w:rPr>
          <w:rFonts w:ascii="Tahoma" w:hAnsi="Tahoma" w:cs="Tahoma"/>
          <w:sz w:val="23"/>
          <w:szCs w:val="23"/>
        </w:rPr>
        <w:t xml:space="preserve"> working with plant collections</w:t>
      </w:r>
      <w:r w:rsidR="007C195B">
        <w:rPr>
          <w:rFonts w:ascii="Tahoma" w:hAnsi="Tahoma" w:cs="Tahoma"/>
          <w:sz w:val="23"/>
          <w:szCs w:val="23"/>
        </w:rPr>
        <w:t>, garden interpretation, propagation</w:t>
      </w:r>
      <w:r w:rsidR="00C1070E" w:rsidRPr="00E834ED">
        <w:rPr>
          <w:rFonts w:ascii="Tahoma" w:hAnsi="Tahoma" w:cs="Tahoma"/>
          <w:sz w:val="23"/>
          <w:szCs w:val="23"/>
        </w:rPr>
        <w:t xml:space="preserve">.  </w:t>
      </w:r>
    </w:p>
    <w:p w14:paraId="50DA6464" w14:textId="287ECC02" w:rsidR="00FB078A" w:rsidRDefault="00BE06EB" w:rsidP="00F6266E">
      <w:pPr>
        <w:rPr>
          <w:rFonts w:ascii="Tahoma" w:hAnsi="Tahoma" w:cs="Tahoma"/>
          <w:sz w:val="23"/>
          <w:szCs w:val="23"/>
        </w:rPr>
      </w:pPr>
      <w:r>
        <w:rPr>
          <w:rFonts w:ascii="Tahoma" w:hAnsi="Tahoma" w:cs="Tahoma"/>
          <w:sz w:val="23"/>
          <w:szCs w:val="23"/>
        </w:rPr>
        <w:t xml:space="preserve">Specialist skills should </w:t>
      </w:r>
      <w:r w:rsidR="00FB078A">
        <w:rPr>
          <w:rFonts w:ascii="Tahoma" w:hAnsi="Tahoma" w:cs="Tahoma"/>
          <w:sz w:val="23"/>
          <w:szCs w:val="23"/>
        </w:rPr>
        <w:t xml:space="preserve">not be tied to </w:t>
      </w:r>
      <w:r w:rsidR="00BE79CD">
        <w:rPr>
          <w:rFonts w:ascii="Tahoma" w:hAnsi="Tahoma" w:cs="Tahoma"/>
          <w:sz w:val="23"/>
          <w:szCs w:val="23"/>
        </w:rPr>
        <w:t xml:space="preserve">an area of the </w:t>
      </w:r>
      <w:r w:rsidR="00FB078A">
        <w:rPr>
          <w:rFonts w:ascii="Tahoma" w:hAnsi="Tahoma" w:cs="Tahoma"/>
          <w:sz w:val="23"/>
          <w:szCs w:val="23"/>
        </w:rPr>
        <w:t xml:space="preserve">apprenticeship standard in their occupational </w:t>
      </w:r>
      <w:proofErr w:type="gramStart"/>
      <w:r w:rsidR="00FB078A">
        <w:rPr>
          <w:rFonts w:ascii="Tahoma" w:hAnsi="Tahoma" w:cs="Tahoma"/>
          <w:sz w:val="23"/>
          <w:szCs w:val="23"/>
        </w:rPr>
        <w:t>area, but</w:t>
      </w:r>
      <w:proofErr w:type="gramEnd"/>
      <w:r w:rsidR="00FB078A">
        <w:rPr>
          <w:rFonts w:ascii="Tahoma" w:hAnsi="Tahoma" w:cs="Tahoma"/>
          <w:sz w:val="23"/>
          <w:szCs w:val="23"/>
        </w:rPr>
        <w:t xml:space="preserve"> go wide</w:t>
      </w:r>
      <w:r w:rsidR="00C1070E">
        <w:rPr>
          <w:rFonts w:ascii="Tahoma" w:hAnsi="Tahoma" w:cs="Tahoma"/>
          <w:sz w:val="23"/>
          <w:szCs w:val="23"/>
        </w:rPr>
        <w:t>r</w:t>
      </w:r>
      <w:r>
        <w:rPr>
          <w:rFonts w:ascii="Tahoma" w:hAnsi="Tahoma" w:cs="Tahoma"/>
          <w:sz w:val="23"/>
          <w:szCs w:val="23"/>
        </w:rPr>
        <w:t xml:space="preserve"> reflecting the diversity of roles in land</w:t>
      </w:r>
      <w:r w:rsidR="00F6373A">
        <w:rPr>
          <w:rFonts w:ascii="Tahoma" w:hAnsi="Tahoma" w:cs="Tahoma"/>
          <w:sz w:val="23"/>
          <w:szCs w:val="23"/>
        </w:rPr>
        <w:t>-</w:t>
      </w:r>
      <w:r>
        <w:rPr>
          <w:rFonts w:ascii="Tahoma" w:hAnsi="Tahoma" w:cs="Tahoma"/>
          <w:sz w:val="23"/>
          <w:szCs w:val="23"/>
        </w:rPr>
        <w:t>based sectors</w:t>
      </w:r>
      <w:r w:rsidR="00FB078A">
        <w:rPr>
          <w:rFonts w:ascii="Tahoma" w:hAnsi="Tahoma" w:cs="Tahoma"/>
          <w:sz w:val="23"/>
          <w:szCs w:val="23"/>
        </w:rPr>
        <w:t>.</w:t>
      </w:r>
      <w:r w:rsidR="00BE79CD">
        <w:rPr>
          <w:rFonts w:ascii="Tahoma" w:hAnsi="Tahoma" w:cs="Tahoma"/>
          <w:sz w:val="23"/>
          <w:szCs w:val="23"/>
        </w:rPr>
        <w:t xml:space="preserve">  </w:t>
      </w:r>
      <w:r w:rsidR="00FB078A">
        <w:rPr>
          <w:rFonts w:ascii="Tahoma" w:hAnsi="Tahoma" w:cs="Tahoma"/>
          <w:sz w:val="23"/>
          <w:szCs w:val="23"/>
        </w:rPr>
        <w:t xml:space="preserve">There is a huge need for specialist level 2 skills in areas that </w:t>
      </w:r>
      <w:r w:rsidR="00C1070E">
        <w:rPr>
          <w:rFonts w:ascii="Tahoma" w:hAnsi="Tahoma" w:cs="Tahoma"/>
          <w:sz w:val="23"/>
          <w:szCs w:val="23"/>
        </w:rPr>
        <w:t xml:space="preserve">have important skills needs, but do not warrant </w:t>
      </w:r>
      <w:r w:rsidR="001D7D66">
        <w:rPr>
          <w:rFonts w:ascii="Tahoma" w:hAnsi="Tahoma" w:cs="Tahoma"/>
          <w:sz w:val="23"/>
          <w:szCs w:val="23"/>
        </w:rPr>
        <w:t xml:space="preserve">a </w:t>
      </w:r>
      <w:r w:rsidR="00FB078A">
        <w:rPr>
          <w:rFonts w:ascii="Tahoma" w:hAnsi="Tahoma" w:cs="Tahoma"/>
          <w:sz w:val="23"/>
          <w:szCs w:val="23"/>
        </w:rPr>
        <w:t xml:space="preserve">level 2 standard.  </w:t>
      </w:r>
    </w:p>
    <w:p w14:paraId="67CC724C" w14:textId="72E0F4B4" w:rsidR="000437AF" w:rsidRPr="00E834ED" w:rsidRDefault="002840B1" w:rsidP="000365FE">
      <w:pPr>
        <w:pStyle w:val="Heading1"/>
      </w:pPr>
      <w:bookmarkStart w:id="4" w:name="_Toc99562947"/>
      <w:r w:rsidRPr="00E834ED">
        <w:t>Group 5: Qualifications supporting cross-sectoral skills</w:t>
      </w:r>
      <w:bookmarkEnd w:id="4"/>
    </w:p>
    <w:p w14:paraId="3D6E0DDF" w14:textId="77777777" w:rsidR="00B47F73" w:rsidRPr="00E834ED" w:rsidRDefault="00B47F73"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Perform a </w:t>
      </w:r>
      <w:proofErr w:type="gramStart"/>
      <w:r w:rsidRPr="00E834ED">
        <w:rPr>
          <w:rFonts w:ascii="Tahoma" w:hAnsi="Tahoma" w:cs="Tahoma"/>
          <w:sz w:val="23"/>
          <w:szCs w:val="23"/>
        </w:rPr>
        <w:t>function/functions</w:t>
      </w:r>
      <w:proofErr w:type="gramEnd"/>
      <w:r w:rsidRPr="00E834ED">
        <w:rPr>
          <w:rFonts w:ascii="Tahoma" w:hAnsi="Tahoma" w:cs="Tahoma"/>
          <w:sz w:val="23"/>
          <w:szCs w:val="23"/>
        </w:rPr>
        <w:t xml:space="preserve"> that are part of multiple occupational standards but do not result in occupational competence.</w:t>
      </w:r>
    </w:p>
    <w:p w14:paraId="4216F1DD" w14:textId="77777777" w:rsidR="00B47F73" w:rsidRPr="00E834ED" w:rsidRDefault="00B47F73"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small in size, with a guideline maximum of 150 GLH.</w:t>
      </w:r>
    </w:p>
    <w:p w14:paraId="05497A90" w14:textId="77777777" w:rsidR="00B47F73" w:rsidRPr="00E834ED" w:rsidRDefault="00B47F73"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3B188A7D" w14:textId="453CB99C" w:rsidR="002840B1" w:rsidRPr="00E834ED" w:rsidRDefault="00B47F73"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Qualifications in health and safety.</w:t>
      </w:r>
    </w:p>
    <w:p w14:paraId="044A7FF4"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11. Do you agree that we should fund qualifications at level 2 that develop cross-sectoral skills for young people?</w:t>
      </w:r>
    </w:p>
    <w:p w14:paraId="391B62C5" w14:textId="77777777" w:rsidR="00F6266E" w:rsidRPr="00E834ED" w:rsidRDefault="00F6266E" w:rsidP="00F6266E">
      <w:pPr>
        <w:rPr>
          <w:rFonts w:ascii="Tahoma" w:hAnsi="Tahoma" w:cs="Tahoma"/>
          <w:sz w:val="23"/>
          <w:szCs w:val="23"/>
        </w:rPr>
      </w:pPr>
      <w:r w:rsidRPr="00E834ED">
        <w:rPr>
          <w:rFonts w:ascii="Tahoma" w:hAnsi="Tahoma" w:cs="Tahoma"/>
          <w:sz w:val="23"/>
          <w:szCs w:val="23"/>
        </w:rPr>
        <w:t xml:space="preserve"> Yes</w:t>
      </w:r>
    </w:p>
    <w:p w14:paraId="6AA90312"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If you agree, are there any examples of qualifications that you think might fall into this group?</w:t>
      </w:r>
    </w:p>
    <w:p w14:paraId="70E7ABC4" w14:textId="2C2B19F9" w:rsidR="00F6266E" w:rsidRPr="00E834ED" w:rsidRDefault="00F6266E" w:rsidP="00F6266E">
      <w:pPr>
        <w:rPr>
          <w:rFonts w:ascii="Tahoma" w:hAnsi="Tahoma" w:cs="Tahoma"/>
          <w:sz w:val="23"/>
          <w:szCs w:val="23"/>
        </w:rPr>
      </w:pPr>
      <w:r w:rsidRPr="001D7D66">
        <w:rPr>
          <w:rFonts w:ascii="Tahoma" w:hAnsi="Tahoma" w:cs="Tahoma"/>
          <w:sz w:val="23"/>
          <w:szCs w:val="23"/>
        </w:rPr>
        <w:t xml:space="preserve">Health and Safety, First Aid at Work, </w:t>
      </w:r>
      <w:r w:rsidR="00CA576B">
        <w:rPr>
          <w:rFonts w:ascii="Tahoma" w:hAnsi="Tahoma" w:cs="Tahoma"/>
          <w:sz w:val="23"/>
          <w:szCs w:val="23"/>
        </w:rPr>
        <w:t xml:space="preserve">CSCS (and associated schemes </w:t>
      </w:r>
      <w:proofErr w:type="gramStart"/>
      <w:r w:rsidR="00CA576B">
        <w:rPr>
          <w:rFonts w:ascii="Tahoma" w:hAnsi="Tahoma" w:cs="Tahoma"/>
          <w:sz w:val="23"/>
          <w:szCs w:val="23"/>
        </w:rPr>
        <w:t>e.g.</w:t>
      </w:r>
      <w:proofErr w:type="gramEnd"/>
      <w:r w:rsidR="00CA576B">
        <w:rPr>
          <w:rFonts w:ascii="Tahoma" w:hAnsi="Tahoma" w:cs="Tahoma"/>
          <w:sz w:val="23"/>
          <w:szCs w:val="23"/>
        </w:rPr>
        <w:t xml:space="preserve"> Landscape Industry Sector Scheme), ROLO site safety training, </w:t>
      </w:r>
      <w:r w:rsidRPr="001D7D66">
        <w:rPr>
          <w:rFonts w:ascii="Tahoma" w:hAnsi="Tahoma" w:cs="Tahoma"/>
          <w:sz w:val="23"/>
          <w:szCs w:val="23"/>
        </w:rPr>
        <w:t xml:space="preserve">pesticide application, generalist machinery use (tractors, trailers, </w:t>
      </w:r>
      <w:r w:rsidR="008709B5" w:rsidRPr="001D7D66">
        <w:rPr>
          <w:rFonts w:ascii="Tahoma" w:hAnsi="Tahoma" w:cs="Tahoma"/>
          <w:sz w:val="23"/>
          <w:szCs w:val="23"/>
        </w:rPr>
        <w:t>chainsaws</w:t>
      </w:r>
      <w:r w:rsidR="008709B5">
        <w:rPr>
          <w:rFonts w:ascii="Tahoma" w:hAnsi="Tahoma" w:cs="Tahoma"/>
          <w:sz w:val="23"/>
          <w:szCs w:val="23"/>
        </w:rPr>
        <w:t>,</w:t>
      </w:r>
      <w:r w:rsidR="008709B5" w:rsidRPr="001D7D66">
        <w:rPr>
          <w:rFonts w:ascii="Tahoma" w:hAnsi="Tahoma" w:cs="Tahoma"/>
          <w:sz w:val="23"/>
          <w:szCs w:val="23"/>
        </w:rPr>
        <w:t xml:space="preserve"> </w:t>
      </w:r>
      <w:r w:rsidRPr="001D7D66">
        <w:rPr>
          <w:rFonts w:ascii="Tahoma" w:hAnsi="Tahoma" w:cs="Tahoma"/>
          <w:sz w:val="23"/>
          <w:szCs w:val="23"/>
        </w:rPr>
        <w:t xml:space="preserve">quad bikes, </w:t>
      </w:r>
      <w:r w:rsidR="009A1B80" w:rsidRPr="001D7D66">
        <w:rPr>
          <w:rFonts w:ascii="Tahoma" w:hAnsi="Tahoma" w:cs="Tahoma"/>
          <w:sz w:val="23"/>
          <w:szCs w:val="23"/>
        </w:rPr>
        <w:t xml:space="preserve">forestry clearing saws, </w:t>
      </w:r>
      <w:r w:rsidR="008709B5">
        <w:rPr>
          <w:rFonts w:ascii="Tahoma" w:hAnsi="Tahoma" w:cs="Tahoma"/>
          <w:sz w:val="23"/>
          <w:szCs w:val="23"/>
        </w:rPr>
        <w:t xml:space="preserve">chippers, </w:t>
      </w:r>
      <w:proofErr w:type="spellStart"/>
      <w:r w:rsidR="008709B5">
        <w:rPr>
          <w:rFonts w:ascii="Tahoma" w:hAnsi="Tahoma" w:cs="Tahoma"/>
          <w:sz w:val="23"/>
          <w:szCs w:val="23"/>
        </w:rPr>
        <w:t>brushcutters</w:t>
      </w:r>
      <w:proofErr w:type="spellEnd"/>
      <w:r w:rsidR="008709B5">
        <w:rPr>
          <w:rFonts w:ascii="Tahoma" w:hAnsi="Tahoma" w:cs="Tahoma"/>
          <w:sz w:val="23"/>
          <w:szCs w:val="23"/>
        </w:rPr>
        <w:t>, hedge cutters</w:t>
      </w:r>
      <w:r w:rsidRPr="001D7D66">
        <w:rPr>
          <w:rFonts w:ascii="Tahoma" w:hAnsi="Tahoma" w:cs="Tahoma"/>
          <w:sz w:val="23"/>
          <w:szCs w:val="23"/>
        </w:rPr>
        <w:t xml:space="preserve">). </w:t>
      </w:r>
      <w:r w:rsidR="00895D7D">
        <w:rPr>
          <w:rFonts w:ascii="Tahoma" w:hAnsi="Tahoma" w:cs="Tahoma"/>
          <w:sz w:val="23"/>
          <w:szCs w:val="23"/>
        </w:rPr>
        <w:t xml:space="preserve"> Sustainability, IT, customer care, basic project management.</w:t>
      </w:r>
      <w:r w:rsidRPr="001D7D66">
        <w:rPr>
          <w:rFonts w:ascii="Tahoma" w:hAnsi="Tahoma" w:cs="Tahoma"/>
          <w:sz w:val="23"/>
          <w:szCs w:val="23"/>
        </w:rPr>
        <w:t xml:space="preserve"> </w:t>
      </w:r>
      <w:r w:rsidR="00BE06EB">
        <w:rPr>
          <w:rFonts w:ascii="Tahoma" w:hAnsi="Tahoma" w:cs="Tahoma"/>
          <w:sz w:val="23"/>
          <w:szCs w:val="23"/>
        </w:rPr>
        <w:t xml:space="preserve">If specialist qualifications remain at 200GLH then also topics that may be part of one standard by required </w:t>
      </w:r>
      <w:r w:rsidR="00BE06EB">
        <w:rPr>
          <w:rFonts w:ascii="Tahoma" w:hAnsi="Tahoma" w:cs="Tahoma"/>
          <w:sz w:val="23"/>
          <w:szCs w:val="23"/>
        </w:rPr>
        <w:lastRenderedPageBreak/>
        <w:t xml:space="preserve">in smaller amounts by another occupation such as arboriculture, estate skills, retail, habitat work </w:t>
      </w:r>
      <w:proofErr w:type="gramStart"/>
      <w:r w:rsidR="00BE06EB">
        <w:rPr>
          <w:rFonts w:ascii="Tahoma" w:hAnsi="Tahoma" w:cs="Tahoma"/>
          <w:sz w:val="23"/>
          <w:szCs w:val="23"/>
        </w:rPr>
        <w:t>etc..</w:t>
      </w:r>
      <w:proofErr w:type="gramEnd"/>
      <w:r w:rsidR="00BE06EB">
        <w:rPr>
          <w:rFonts w:ascii="Tahoma" w:hAnsi="Tahoma" w:cs="Tahoma"/>
          <w:sz w:val="23"/>
          <w:szCs w:val="23"/>
        </w:rPr>
        <w:t xml:space="preserve"> </w:t>
      </w:r>
    </w:p>
    <w:p w14:paraId="45A97667" w14:textId="43111A0C" w:rsidR="00E6179F" w:rsidRPr="00E834ED" w:rsidRDefault="00E6179F" w:rsidP="000365FE">
      <w:pPr>
        <w:pStyle w:val="Heading1"/>
      </w:pPr>
      <w:bookmarkStart w:id="5" w:name="_Toc99562948"/>
      <w:r w:rsidRPr="00E834ED">
        <w:t>Group 7: Qualifications supporting progression to level 3 academic study</w:t>
      </w:r>
      <w:bookmarkEnd w:id="5"/>
    </w:p>
    <w:p w14:paraId="38FDAFC5" w14:textId="77777777" w:rsidR="00E6179F" w:rsidRPr="00E834ED" w:rsidRDefault="00E6179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Provide introductory content in a specialist subject area, thereby supporting progression to a level 3 academic qualification which is in the same specialist area and is offered as an alternative to A levels.</w:t>
      </w:r>
    </w:p>
    <w:p w14:paraId="774CEBCF" w14:textId="77777777" w:rsidR="00E6179F" w:rsidRPr="00E834ED" w:rsidRDefault="00E6179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Include content that is substantially different from GCSEs.</w:t>
      </w:r>
    </w:p>
    <w:p w14:paraId="5CFF5CD5" w14:textId="77777777" w:rsidR="00E6179F" w:rsidRPr="00E834ED" w:rsidRDefault="00E6179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small to medium in size (less than half of a 16 to 19 study programme), with a guideline size of 120-240 GLH, so they can be delivered as part of a broader study programme that prepares students for further academic study and allows time for GCSE resits where needed.</w:t>
      </w:r>
    </w:p>
    <w:p w14:paraId="4B99424D" w14:textId="77777777" w:rsidR="00E6179F" w:rsidRPr="00E834ED" w:rsidRDefault="00E6179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 Be available to both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w:t>
      </w:r>
    </w:p>
    <w:p w14:paraId="51916587" w14:textId="77777777" w:rsidR="00E6179F" w:rsidRPr="00E834ED" w:rsidRDefault="00E6179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OR</w:t>
      </w:r>
    </w:p>
    <w:p w14:paraId="51F0D8EA" w14:textId="2FF2BE62" w:rsidR="00E6179F" w:rsidRPr="00E834ED" w:rsidRDefault="00E6179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 Be a small, graded qualification in performing arts </w:t>
      </w:r>
      <w:r w:rsidR="001D7D66">
        <w:rPr>
          <w:rFonts w:ascii="Tahoma" w:hAnsi="Tahoma" w:cs="Tahoma"/>
          <w:sz w:val="23"/>
          <w:szCs w:val="23"/>
        </w:rPr>
        <w:t xml:space="preserve">(for example grades in a musical instrument) </w:t>
      </w:r>
      <w:r w:rsidRPr="00E834ED">
        <w:rPr>
          <w:rFonts w:ascii="Tahoma" w:hAnsi="Tahoma" w:cs="Tahoma"/>
          <w:sz w:val="23"/>
          <w:szCs w:val="23"/>
        </w:rPr>
        <w:t>or</w:t>
      </w:r>
    </w:p>
    <w:p w14:paraId="07D9996A" w14:textId="50859129" w:rsidR="00E6179F" w:rsidRPr="00E834ED" w:rsidRDefault="00E6179F"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A Higher Project Qualification</w:t>
      </w:r>
      <w:r w:rsidR="001D7D66">
        <w:rPr>
          <w:rFonts w:ascii="Tahoma" w:hAnsi="Tahoma" w:cs="Tahoma"/>
          <w:sz w:val="23"/>
          <w:szCs w:val="23"/>
        </w:rPr>
        <w:t xml:space="preserve"> (NB This is an independent learning level 2 qualification that is often done alongside GCSE or at college)</w:t>
      </w:r>
      <w:r w:rsidRPr="00E834ED">
        <w:rPr>
          <w:rFonts w:ascii="Tahoma" w:hAnsi="Tahoma" w:cs="Tahoma"/>
          <w:sz w:val="23"/>
          <w:szCs w:val="23"/>
        </w:rPr>
        <w:t>.</w:t>
      </w:r>
    </w:p>
    <w:p w14:paraId="78B2DDD9"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12. Do you agree that we should fund qualifications to support progression to specialist level 3 academic qualifications?</w:t>
      </w:r>
    </w:p>
    <w:p w14:paraId="00F5C101" w14:textId="77777777" w:rsidR="00F6266E" w:rsidRPr="00E834ED" w:rsidRDefault="00F6266E" w:rsidP="00F6266E">
      <w:pPr>
        <w:rPr>
          <w:rFonts w:ascii="Tahoma" w:hAnsi="Tahoma" w:cs="Tahoma"/>
          <w:sz w:val="23"/>
          <w:szCs w:val="23"/>
        </w:rPr>
      </w:pPr>
      <w:r w:rsidRPr="00E834ED">
        <w:rPr>
          <w:rFonts w:ascii="Tahoma" w:hAnsi="Tahoma" w:cs="Tahoma"/>
          <w:sz w:val="23"/>
          <w:szCs w:val="23"/>
        </w:rPr>
        <w:t xml:space="preserve"> Yes</w:t>
      </w:r>
    </w:p>
    <w:p w14:paraId="6EF9EE72"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Do you agree that qualifications in this group should be small-medium sized, with a guideline size of 120-240 GLH?</w:t>
      </w:r>
    </w:p>
    <w:p w14:paraId="053D7644" w14:textId="77777777" w:rsidR="00F6266E" w:rsidRPr="00E834ED" w:rsidRDefault="00F6266E" w:rsidP="00F6266E">
      <w:pPr>
        <w:rPr>
          <w:rFonts w:ascii="Tahoma" w:hAnsi="Tahoma" w:cs="Tahoma"/>
          <w:sz w:val="23"/>
          <w:szCs w:val="23"/>
        </w:rPr>
      </w:pPr>
      <w:r w:rsidRPr="00E834ED">
        <w:rPr>
          <w:rFonts w:ascii="Tahoma" w:hAnsi="Tahoma" w:cs="Tahoma"/>
          <w:sz w:val="23"/>
          <w:szCs w:val="23"/>
        </w:rPr>
        <w:t xml:space="preserve"> Yes</w:t>
      </w:r>
    </w:p>
    <w:p w14:paraId="21EECE78" w14:textId="77777777" w:rsidR="00F6266E" w:rsidRPr="00300531" w:rsidRDefault="00F6266E" w:rsidP="00F6266E">
      <w:pPr>
        <w:rPr>
          <w:rFonts w:ascii="Tahoma" w:hAnsi="Tahoma" w:cs="Tahoma"/>
          <w:i/>
          <w:iCs/>
          <w:sz w:val="23"/>
          <w:szCs w:val="23"/>
        </w:rPr>
      </w:pPr>
      <w:r w:rsidRPr="00300531">
        <w:rPr>
          <w:rFonts w:ascii="Tahoma" w:hAnsi="Tahoma" w:cs="Tahoma"/>
          <w:i/>
          <w:iCs/>
          <w:sz w:val="23"/>
          <w:szCs w:val="23"/>
        </w:rPr>
        <w:t>Please give reasons for your answers</w:t>
      </w:r>
    </w:p>
    <w:p w14:paraId="61739B2C" w14:textId="4589EA29" w:rsidR="00F6266E" w:rsidRPr="00E834ED" w:rsidRDefault="00F6266E" w:rsidP="00F6266E">
      <w:pPr>
        <w:pStyle w:val="ListParagraph"/>
        <w:ind w:left="0"/>
        <w:rPr>
          <w:rFonts w:ascii="Tahoma" w:hAnsi="Tahoma" w:cs="Tahoma"/>
          <w:sz w:val="23"/>
          <w:szCs w:val="23"/>
        </w:rPr>
      </w:pPr>
      <w:r w:rsidRPr="00E834ED">
        <w:rPr>
          <w:rFonts w:ascii="Tahoma" w:hAnsi="Tahoma" w:cs="Tahoma"/>
          <w:sz w:val="23"/>
          <w:szCs w:val="23"/>
        </w:rPr>
        <w:t xml:space="preserve">This should not be simply progression to specialist level 3 academic </w:t>
      </w:r>
      <w:proofErr w:type="gramStart"/>
      <w:r w:rsidRPr="00E834ED">
        <w:rPr>
          <w:rFonts w:ascii="Tahoma" w:hAnsi="Tahoma" w:cs="Tahoma"/>
          <w:sz w:val="23"/>
          <w:szCs w:val="23"/>
        </w:rPr>
        <w:t>qualifications, but</w:t>
      </w:r>
      <w:proofErr w:type="gramEnd"/>
      <w:r w:rsidRPr="00E834ED">
        <w:rPr>
          <w:rFonts w:ascii="Tahoma" w:hAnsi="Tahoma" w:cs="Tahoma"/>
          <w:sz w:val="23"/>
          <w:szCs w:val="23"/>
        </w:rPr>
        <w:t xml:space="preserve"> should also include specialist technical qualifications. A GCSE-style qualification in horticulture, for example, would build the confidence, skills and awareness of young people who may wish to progress into vocational training. This qualification could assist young people in progressing to a T</w:t>
      </w:r>
      <w:r w:rsidR="001D7D66">
        <w:rPr>
          <w:rFonts w:ascii="Tahoma" w:hAnsi="Tahoma" w:cs="Tahoma"/>
          <w:sz w:val="23"/>
          <w:szCs w:val="23"/>
        </w:rPr>
        <w:t xml:space="preserve"> </w:t>
      </w:r>
      <w:r w:rsidRPr="00E834ED">
        <w:rPr>
          <w:rFonts w:ascii="Tahoma" w:hAnsi="Tahoma" w:cs="Tahoma"/>
          <w:sz w:val="23"/>
          <w:szCs w:val="23"/>
        </w:rPr>
        <w:t xml:space="preserve">Level, or into an Apprenticeship. Also, this qualification at level 2 should not negate the opportunity to progress to an Apprenticeship at the same level – for example, somebody with this qualification in horticulture should be able to progress to a L2 Apprenticeship.  </w:t>
      </w:r>
    </w:p>
    <w:p w14:paraId="2B14CF10" w14:textId="77777777" w:rsidR="00F6266E" w:rsidRPr="00E834ED" w:rsidRDefault="00F6266E" w:rsidP="00F6266E">
      <w:pPr>
        <w:rPr>
          <w:rFonts w:ascii="Tahoma" w:hAnsi="Tahoma" w:cs="Tahoma"/>
          <w:sz w:val="23"/>
          <w:szCs w:val="23"/>
        </w:rPr>
      </w:pPr>
    </w:p>
    <w:p w14:paraId="585857C0" w14:textId="77777777" w:rsidR="00F6266E" w:rsidRPr="00C14033" w:rsidRDefault="00F6266E" w:rsidP="00F6266E">
      <w:pPr>
        <w:rPr>
          <w:rFonts w:ascii="Tahoma" w:hAnsi="Tahoma" w:cs="Tahoma"/>
          <w:i/>
          <w:iCs/>
          <w:sz w:val="23"/>
          <w:szCs w:val="23"/>
        </w:rPr>
      </w:pPr>
      <w:r w:rsidRPr="00C14033">
        <w:rPr>
          <w:rFonts w:ascii="Tahoma" w:hAnsi="Tahoma" w:cs="Tahoma"/>
          <w:i/>
          <w:iCs/>
          <w:sz w:val="23"/>
          <w:szCs w:val="23"/>
        </w:rPr>
        <w:t>13. Do you agree that we should continue to fund level 2 performing arts graded exams in their current form?</w:t>
      </w:r>
    </w:p>
    <w:p w14:paraId="502B50C4" w14:textId="77777777" w:rsidR="00F6266E" w:rsidRPr="00E42E1C" w:rsidRDefault="00F6266E" w:rsidP="00F6266E">
      <w:pPr>
        <w:rPr>
          <w:rFonts w:ascii="Tahoma" w:hAnsi="Tahoma" w:cs="Tahoma"/>
          <w:sz w:val="23"/>
          <w:szCs w:val="23"/>
        </w:rPr>
      </w:pPr>
      <w:r w:rsidRPr="00E42E1C">
        <w:rPr>
          <w:rFonts w:ascii="Tahoma" w:hAnsi="Tahoma" w:cs="Tahoma"/>
          <w:sz w:val="23"/>
          <w:szCs w:val="23"/>
        </w:rPr>
        <w:t xml:space="preserve"> Yes</w:t>
      </w:r>
    </w:p>
    <w:p w14:paraId="5D1A7811" w14:textId="3493D648" w:rsidR="00F6266E" w:rsidRDefault="00F6266E" w:rsidP="00F6266E">
      <w:pPr>
        <w:rPr>
          <w:rFonts w:ascii="Tahoma" w:hAnsi="Tahoma" w:cs="Tahoma"/>
          <w:i/>
          <w:iCs/>
          <w:sz w:val="23"/>
          <w:szCs w:val="23"/>
        </w:rPr>
      </w:pPr>
      <w:r w:rsidRPr="00C14033">
        <w:rPr>
          <w:rFonts w:ascii="Tahoma" w:hAnsi="Tahoma" w:cs="Tahoma"/>
          <w:i/>
          <w:iCs/>
          <w:sz w:val="23"/>
          <w:szCs w:val="23"/>
        </w:rPr>
        <w:t>Please give reasons for your answer</w:t>
      </w:r>
    </w:p>
    <w:p w14:paraId="269056FC" w14:textId="01EAEEFB" w:rsidR="00C14033" w:rsidRPr="00C14033" w:rsidRDefault="00C14033" w:rsidP="00F6266E">
      <w:pPr>
        <w:rPr>
          <w:rFonts w:ascii="Tahoma" w:hAnsi="Tahoma" w:cs="Tahoma"/>
          <w:sz w:val="23"/>
          <w:szCs w:val="23"/>
        </w:rPr>
      </w:pPr>
      <w:r>
        <w:rPr>
          <w:rFonts w:ascii="Tahoma" w:hAnsi="Tahoma" w:cs="Tahoma"/>
          <w:sz w:val="23"/>
          <w:szCs w:val="23"/>
        </w:rPr>
        <w:t>No comment</w:t>
      </w:r>
    </w:p>
    <w:p w14:paraId="5B7D1491" w14:textId="77777777" w:rsidR="00F6266E" w:rsidRPr="00C14033" w:rsidRDefault="00F6266E" w:rsidP="00F6266E">
      <w:pPr>
        <w:rPr>
          <w:rFonts w:ascii="Tahoma" w:hAnsi="Tahoma" w:cs="Tahoma"/>
          <w:i/>
          <w:iCs/>
          <w:sz w:val="23"/>
          <w:szCs w:val="23"/>
        </w:rPr>
      </w:pPr>
      <w:r w:rsidRPr="00C14033">
        <w:rPr>
          <w:rFonts w:ascii="Tahoma" w:hAnsi="Tahoma" w:cs="Tahoma"/>
          <w:i/>
          <w:iCs/>
          <w:sz w:val="23"/>
          <w:szCs w:val="23"/>
        </w:rPr>
        <w:lastRenderedPageBreak/>
        <w:t xml:space="preserve">Do you agree that we should continue to fund level 2 Higher Project Qualifications in their current form?  </w:t>
      </w:r>
    </w:p>
    <w:p w14:paraId="688AEA32" w14:textId="77777777" w:rsidR="00F6266E" w:rsidRPr="00E42E1C" w:rsidRDefault="00F6266E" w:rsidP="00F6266E">
      <w:pPr>
        <w:rPr>
          <w:rFonts w:ascii="Tahoma" w:hAnsi="Tahoma" w:cs="Tahoma"/>
          <w:sz w:val="23"/>
          <w:szCs w:val="23"/>
        </w:rPr>
      </w:pPr>
      <w:r w:rsidRPr="00E42E1C">
        <w:rPr>
          <w:rFonts w:ascii="Tahoma" w:hAnsi="Tahoma" w:cs="Tahoma"/>
          <w:sz w:val="23"/>
          <w:szCs w:val="23"/>
        </w:rPr>
        <w:t xml:space="preserve"> Yes</w:t>
      </w:r>
    </w:p>
    <w:p w14:paraId="34179EB6" w14:textId="77777777" w:rsidR="00F6266E" w:rsidRPr="00C14033" w:rsidRDefault="00F6266E" w:rsidP="00F6266E">
      <w:pPr>
        <w:rPr>
          <w:rFonts w:ascii="Tahoma" w:hAnsi="Tahoma" w:cs="Tahoma"/>
          <w:i/>
          <w:iCs/>
          <w:sz w:val="23"/>
          <w:szCs w:val="23"/>
        </w:rPr>
      </w:pPr>
      <w:r w:rsidRPr="00C14033">
        <w:rPr>
          <w:rFonts w:ascii="Tahoma" w:hAnsi="Tahoma" w:cs="Tahoma"/>
          <w:i/>
          <w:iCs/>
          <w:sz w:val="23"/>
          <w:szCs w:val="23"/>
        </w:rPr>
        <w:t>Please give reasons for your answer</w:t>
      </w:r>
    </w:p>
    <w:p w14:paraId="01BB394C" w14:textId="454A0216" w:rsidR="00F6266E" w:rsidRDefault="00C14033" w:rsidP="00B47F73">
      <w:pPr>
        <w:rPr>
          <w:rFonts w:ascii="Tahoma" w:hAnsi="Tahoma" w:cs="Tahoma"/>
          <w:sz w:val="23"/>
          <w:szCs w:val="23"/>
        </w:rPr>
      </w:pPr>
      <w:r w:rsidRPr="00C14033">
        <w:rPr>
          <w:rFonts w:ascii="Tahoma" w:hAnsi="Tahoma" w:cs="Tahoma"/>
          <w:sz w:val="23"/>
          <w:szCs w:val="23"/>
        </w:rPr>
        <w:t>No comment</w:t>
      </w:r>
    </w:p>
    <w:p w14:paraId="433EEBAC" w14:textId="77777777" w:rsidR="00C14033" w:rsidRPr="00C14033" w:rsidRDefault="00C14033" w:rsidP="00B47F73">
      <w:pPr>
        <w:rPr>
          <w:rFonts w:ascii="Tahoma" w:hAnsi="Tahoma" w:cs="Tahoma"/>
          <w:sz w:val="23"/>
          <w:szCs w:val="23"/>
        </w:rPr>
      </w:pPr>
    </w:p>
    <w:p w14:paraId="284A6530" w14:textId="29C62416" w:rsidR="00E6179F" w:rsidRPr="00E834ED" w:rsidRDefault="00C34237" w:rsidP="000365FE">
      <w:pPr>
        <w:pStyle w:val="Heading1"/>
      </w:pPr>
      <w:bookmarkStart w:id="6" w:name="_Toc99562949"/>
      <w:r w:rsidRPr="00E834ED">
        <w:t>Group 9: Level 1 pre-technical qualifications</w:t>
      </w:r>
      <w:bookmarkEnd w:id="6"/>
    </w:p>
    <w:p w14:paraId="3ABD9DC8" w14:textId="0BB4AF6C" w:rsidR="00C34237" w:rsidRPr="00E834ED" w:rsidRDefault="00C34237"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Qualifications which:</w:t>
      </w:r>
    </w:p>
    <w:p w14:paraId="175AE17E" w14:textId="34AD305F" w:rsidR="00C34237" w:rsidRPr="00E834ED" w:rsidRDefault="00C34237" w:rsidP="003F437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ahoma" w:hAnsi="Tahoma" w:cs="Tahoma"/>
          <w:sz w:val="23"/>
          <w:szCs w:val="23"/>
        </w:rPr>
      </w:pPr>
      <w:r w:rsidRPr="00E834ED">
        <w:rPr>
          <w:rFonts w:ascii="Tahoma" w:hAnsi="Tahoma" w:cs="Tahoma"/>
          <w:sz w:val="23"/>
          <w:szCs w:val="23"/>
        </w:rPr>
        <w:t>support progression onto a level 2 technical qualification that provides direct entry into a level 2 occupation, or</w:t>
      </w:r>
    </w:p>
    <w:p w14:paraId="14895E77" w14:textId="2B64BA6A" w:rsidR="00C34237" w:rsidRPr="00E834ED" w:rsidRDefault="00C34237" w:rsidP="003F4379">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ahoma" w:hAnsi="Tahoma" w:cs="Tahoma"/>
          <w:sz w:val="23"/>
          <w:szCs w:val="23"/>
        </w:rPr>
      </w:pPr>
      <w:r w:rsidRPr="00E834ED">
        <w:rPr>
          <w:rFonts w:ascii="Tahoma" w:hAnsi="Tahoma" w:cs="Tahoma"/>
          <w:sz w:val="23"/>
          <w:szCs w:val="23"/>
        </w:rPr>
        <w:t>support progression, potentially via a level 2 qualification, to a level 3 qualification which provides entry to a level 3 occupation</w:t>
      </w:r>
    </w:p>
    <w:p w14:paraId="74F9BDD7" w14:textId="77777777" w:rsidR="00C34237" w:rsidRPr="00E834ED" w:rsidRDefault="00C34237"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To be in scope for funding these qualifications must:</w:t>
      </w:r>
    </w:p>
    <w:p w14:paraId="2BF4CD4E" w14:textId="77777777" w:rsidR="00C34237" w:rsidRPr="00E834ED" w:rsidRDefault="00C34237"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small to medium in size, with a guideline size of 120-280 GLH</w:t>
      </w:r>
    </w:p>
    <w:p w14:paraId="6974E7E6" w14:textId="77777777" w:rsidR="00C34237" w:rsidRPr="00E834ED" w:rsidRDefault="00C34237"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 Be available to both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w:t>
      </w:r>
    </w:p>
    <w:p w14:paraId="44F15618" w14:textId="77777777" w:rsidR="00C34237" w:rsidRPr="00E834ED" w:rsidRDefault="00C34237"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2AEF6595" w14:textId="59459B2A" w:rsidR="00C34237" w:rsidRPr="00E834ED" w:rsidRDefault="00C34237" w:rsidP="00F6266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A level 1 qualification providing an overview of the catering and hospitality route, as well as</w:t>
      </w:r>
      <w:r w:rsidR="00025132">
        <w:rPr>
          <w:rFonts w:ascii="Tahoma" w:hAnsi="Tahoma" w:cs="Tahoma"/>
          <w:sz w:val="23"/>
          <w:szCs w:val="23"/>
        </w:rPr>
        <w:t xml:space="preserve"> </w:t>
      </w:r>
      <w:r w:rsidRPr="00E834ED">
        <w:rPr>
          <w:rFonts w:ascii="Tahoma" w:hAnsi="Tahoma" w:cs="Tahoma"/>
          <w:sz w:val="23"/>
          <w:szCs w:val="23"/>
        </w:rPr>
        <w:t>some introductory technical skills.</w:t>
      </w:r>
    </w:p>
    <w:p w14:paraId="2B8C73FB" w14:textId="77777777" w:rsidR="003F4379" w:rsidRPr="00300531" w:rsidRDefault="003F4379" w:rsidP="003F4379">
      <w:pPr>
        <w:rPr>
          <w:rFonts w:ascii="Tahoma" w:hAnsi="Tahoma" w:cs="Tahoma"/>
          <w:i/>
          <w:iCs/>
          <w:sz w:val="23"/>
          <w:szCs w:val="23"/>
        </w:rPr>
      </w:pPr>
      <w:r w:rsidRPr="00300531">
        <w:rPr>
          <w:rFonts w:ascii="Tahoma" w:hAnsi="Tahoma" w:cs="Tahoma"/>
          <w:i/>
          <w:iCs/>
          <w:sz w:val="23"/>
          <w:szCs w:val="23"/>
        </w:rPr>
        <w:t xml:space="preserve">14. Do you agree that we should fund level 1 pre-technical qualifications which focus on progression to level 2 and </w:t>
      </w:r>
      <w:proofErr w:type="gramStart"/>
      <w:r w:rsidRPr="00300531">
        <w:rPr>
          <w:rFonts w:ascii="Tahoma" w:hAnsi="Tahoma" w:cs="Tahoma"/>
          <w:i/>
          <w:iCs/>
          <w:sz w:val="23"/>
          <w:szCs w:val="23"/>
        </w:rPr>
        <w:t>provide an introduction to</w:t>
      </w:r>
      <w:proofErr w:type="gramEnd"/>
      <w:r w:rsidRPr="00300531">
        <w:rPr>
          <w:rFonts w:ascii="Tahoma" w:hAnsi="Tahoma" w:cs="Tahoma"/>
          <w:i/>
          <w:iCs/>
          <w:sz w:val="23"/>
          <w:szCs w:val="23"/>
        </w:rPr>
        <w:t xml:space="preserve"> the relevant occupational route?</w:t>
      </w:r>
    </w:p>
    <w:p w14:paraId="464A3FAC" w14:textId="6EE0593B" w:rsidR="003F4379" w:rsidRPr="00E834ED" w:rsidRDefault="00025132" w:rsidP="003F4379">
      <w:pPr>
        <w:rPr>
          <w:rFonts w:ascii="Tahoma" w:hAnsi="Tahoma" w:cs="Tahoma"/>
          <w:sz w:val="23"/>
          <w:szCs w:val="23"/>
        </w:rPr>
      </w:pPr>
      <w:r>
        <w:rPr>
          <w:rFonts w:ascii="Tahoma" w:hAnsi="Tahoma" w:cs="Tahoma"/>
          <w:sz w:val="23"/>
          <w:szCs w:val="23"/>
        </w:rPr>
        <w:t>No</w:t>
      </w:r>
    </w:p>
    <w:p w14:paraId="29797B02" w14:textId="77777777" w:rsidR="003F4379" w:rsidRPr="00300531" w:rsidRDefault="003F4379" w:rsidP="003F4379">
      <w:pPr>
        <w:rPr>
          <w:rFonts w:ascii="Tahoma" w:hAnsi="Tahoma" w:cs="Tahoma"/>
          <w:i/>
          <w:iCs/>
          <w:sz w:val="23"/>
          <w:szCs w:val="23"/>
        </w:rPr>
      </w:pPr>
      <w:r w:rsidRPr="00300531">
        <w:rPr>
          <w:rFonts w:ascii="Tahoma" w:hAnsi="Tahoma" w:cs="Tahoma"/>
          <w:i/>
          <w:iCs/>
          <w:sz w:val="23"/>
          <w:szCs w:val="23"/>
        </w:rPr>
        <w:t>Do you agree that qualifications in this group should be small to medium sized, with a guideline size of 120-280 GLH?</w:t>
      </w:r>
    </w:p>
    <w:p w14:paraId="3470C72E" w14:textId="77777777" w:rsidR="003F4379" w:rsidRPr="00E834ED" w:rsidRDefault="003F4379" w:rsidP="003F4379">
      <w:pPr>
        <w:rPr>
          <w:rFonts w:ascii="Tahoma" w:hAnsi="Tahoma" w:cs="Tahoma"/>
          <w:sz w:val="23"/>
          <w:szCs w:val="23"/>
        </w:rPr>
      </w:pPr>
      <w:r w:rsidRPr="00E834ED">
        <w:rPr>
          <w:rFonts w:ascii="Tahoma" w:hAnsi="Tahoma" w:cs="Tahoma"/>
          <w:sz w:val="23"/>
          <w:szCs w:val="23"/>
        </w:rPr>
        <w:t>No</w:t>
      </w:r>
    </w:p>
    <w:p w14:paraId="6596062D" w14:textId="77777777" w:rsidR="003F4379" w:rsidRPr="00300531" w:rsidRDefault="003F4379" w:rsidP="003F4379">
      <w:pPr>
        <w:rPr>
          <w:rFonts w:ascii="Tahoma" w:hAnsi="Tahoma" w:cs="Tahoma"/>
          <w:i/>
          <w:iCs/>
          <w:sz w:val="23"/>
          <w:szCs w:val="23"/>
        </w:rPr>
      </w:pPr>
      <w:r w:rsidRPr="00300531">
        <w:rPr>
          <w:rFonts w:ascii="Tahoma" w:hAnsi="Tahoma" w:cs="Tahoma"/>
          <w:i/>
          <w:iCs/>
          <w:sz w:val="23"/>
          <w:szCs w:val="23"/>
        </w:rPr>
        <w:t>Please give reasons for your answers</w:t>
      </w:r>
    </w:p>
    <w:p w14:paraId="45D2E6D6" w14:textId="0A69EC63" w:rsidR="00C14033" w:rsidRPr="00E834ED" w:rsidRDefault="003F4379" w:rsidP="003F4379">
      <w:pPr>
        <w:rPr>
          <w:rFonts w:ascii="Tahoma" w:hAnsi="Tahoma" w:cs="Tahoma"/>
          <w:sz w:val="23"/>
          <w:szCs w:val="23"/>
        </w:rPr>
      </w:pPr>
      <w:r w:rsidRPr="00E834ED">
        <w:rPr>
          <w:rFonts w:ascii="Tahoma" w:hAnsi="Tahoma" w:cs="Tahoma"/>
          <w:sz w:val="23"/>
          <w:szCs w:val="23"/>
        </w:rPr>
        <w:t>Progression to L2 should not be a pre-requisite</w:t>
      </w:r>
      <w:r w:rsidR="00025132">
        <w:rPr>
          <w:rFonts w:ascii="Tahoma" w:hAnsi="Tahoma" w:cs="Tahoma"/>
          <w:sz w:val="23"/>
          <w:szCs w:val="23"/>
        </w:rPr>
        <w:t>, nor should giving an overview of an occupational route</w:t>
      </w:r>
      <w:r w:rsidRPr="00E834ED">
        <w:rPr>
          <w:rFonts w:ascii="Tahoma" w:hAnsi="Tahoma" w:cs="Tahoma"/>
          <w:sz w:val="23"/>
          <w:szCs w:val="23"/>
        </w:rPr>
        <w:t>. Many other benefits can be gained from L1 qualifications such as life-skills, improvement in confidence, behaviours, social skills, physical skills and communication, and these benefits should continue to be acknowledged and supported by the funding system.</w:t>
      </w:r>
      <w:r w:rsidR="00AA6A89">
        <w:rPr>
          <w:rFonts w:ascii="Tahoma" w:hAnsi="Tahoma" w:cs="Tahoma"/>
          <w:sz w:val="23"/>
          <w:szCs w:val="23"/>
        </w:rPr>
        <w:t xml:space="preserve"> </w:t>
      </w:r>
      <w:r w:rsidR="006136B0">
        <w:rPr>
          <w:rFonts w:ascii="Tahoma" w:hAnsi="Tahoma" w:cs="Tahoma"/>
          <w:sz w:val="23"/>
          <w:szCs w:val="23"/>
        </w:rPr>
        <w:t xml:space="preserve">In </w:t>
      </w:r>
      <w:proofErr w:type="gramStart"/>
      <w:r w:rsidR="006136B0">
        <w:rPr>
          <w:rFonts w:ascii="Tahoma" w:hAnsi="Tahoma" w:cs="Tahoma"/>
          <w:sz w:val="23"/>
          <w:szCs w:val="23"/>
        </w:rPr>
        <w:t>land based</w:t>
      </w:r>
      <w:proofErr w:type="gramEnd"/>
      <w:r w:rsidR="006136B0">
        <w:rPr>
          <w:rFonts w:ascii="Tahoma" w:hAnsi="Tahoma" w:cs="Tahoma"/>
          <w:sz w:val="23"/>
          <w:szCs w:val="23"/>
        </w:rPr>
        <w:t xml:space="preserve"> sector these qualifications are often used for community projects and with disadvantaged groups.  They do not plan to enter occupations or progress, but these qualifications can be transformational, firstly for the achievement and the life skills, but also the unplanned progression that can happen on the back of this achievement.</w:t>
      </w:r>
      <w:r w:rsidR="00AA6A89">
        <w:rPr>
          <w:rFonts w:ascii="Tahoma" w:hAnsi="Tahoma" w:cs="Tahoma"/>
          <w:sz w:val="23"/>
          <w:szCs w:val="23"/>
        </w:rPr>
        <w:t xml:space="preserve"> </w:t>
      </w:r>
      <w:r w:rsidR="006136B0">
        <w:rPr>
          <w:rFonts w:ascii="Tahoma" w:hAnsi="Tahoma" w:cs="Tahoma"/>
          <w:sz w:val="23"/>
          <w:szCs w:val="23"/>
        </w:rPr>
        <w:t xml:space="preserve">The size of </w:t>
      </w:r>
      <w:r w:rsidR="00AA6A89">
        <w:rPr>
          <w:rFonts w:ascii="Tahoma" w:hAnsi="Tahoma" w:cs="Tahoma"/>
          <w:sz w:val="23"/>
          <w:szCs w:val="23"/>
        </w:rPr>
        <w:t xml:space="preserve">120 GLH </w:t>
      </w:r>
      <w:r w:rsidR="006136B0">
        <w:rPr>
          <w:rFonts w:ascii="Tahoma" w:hAnsi="Tahoma" w:cs="Tahoma"/>
          <w:sz w:val="23"/>
          <w:szCs w:val="23"/>
        </w:rPr>
        <w:t xml:space="preserve">is far too large to serve these audiences and </w:t>
      </w:r>
      <w:r w:rsidR="00AA6A89">
        <w:rPr>
          <w:rFonts w:ascii="Tahoma" w:hAnsi="Tahoma" w:cs="Tahoma"/>
          <w:sz w:val="23"/>
          <w:szCs w:val="23"/>
        </w:rPr>
        <w:t xml:space="preserve">to be accessible to learners.  </w:t>
      </w:r>
      <w:r w:rsidR="00025132">
        <w:rPr>
          <w:rFonts w:ascii="Tahoma" w:hAnsi="Tahoma" w:cs="Tahoma"/>
          <w:sz w:val="23"/>
          <w:szCs w:val="23"/>
        </w:rPr>
        <w:t xml:space="preserve">An example is the Open College Network Level 1 Award in Forestry </w:t>
      </w:r>
      <w:proofErr w:type="gramStart"/>
      <w:r w:rsidR="00025132">
        <w:rPr>
          <w:rFonts w:ascii="Tahoma" w:hAnsi="Tahoma" w:cs="Tahoma"/>
          <w:sz w:val="23"/>
          <w:szCs w:val="23"/>
        </w:rPr>
        <w:t>In</w:t>
      </w:r>
      <w:proofErr w:type="gramEnd"/>
      <w:r w:rsidR="00025132">
        <w:rPr>
          <w:rFonts w:ascii="Tahoma" w:hAnsi="Tahoma" w:cs="Tahoma"/>
          <w:sz w:val="23"/>
          <w:szCs w:val="23"/>
        </w:rPr>
        <w:t xml:space="preserve"> the Community.  This is only 40 GLH, deliberately kept small to make it accessible to as wider range of people as possible.  It can be done in an afternoon a week over a school year or as a short intensive course for young people currently unemployed but not yet ready for a level 2 apprenticeship.  The main goal is to build </w:t>
      </w:r>
      <w:r w:rsidR="00025132">
        <w:rPr>
          <w:rFonts w:ascii="Tahoma" w:hAnsi="Tahoma" w:cs="Tahoma"/>
          <w:sz w:val="23"/>
          <w:szCs w:val="23"/>
        </w:rPr>
        <w:lastRenderedPageBreak/>
        <w:t>confidence, so it does not need to have a large amount of learning – it could be developed to a year with more practical skills</w:t>
      </w:r>
      <w:r w:rsidR="006136B0">
        <w:rPr>
          <w:rFonts w:ascii="Tahoma" w:hAnsi="Tahoma" w:cs="Tahoma"/>
          <w:sz w:val="23"/>
          <w:szCs w:val="23"/>
        </w:rPr>
        <w:t>,</w:t>
      </w:r>
      <w:r w:rsidR="00025132">
        <w:rPr>
          <w:rFonts w:ascii="Tahoma" w:hAnsi="Tahoma" w:cs="Tahoma"/>
          <w:sz w:val="23"/>
          <w:szCs w:val="23"/>
        </w:rPr>
        <w:t xml:space="preserve"> but this is not what the audience required.</w:t>
      </w:r>
    </w:p>
    <w:p w14:paraId="7C4E975C" w14:textId="2D2117B0" w:rsidR="00C34237" w:rsidRPr="00E834ED" w:rsidRDefault="00C34237" w:rsidP="000365FE">
      <w:pPr>
        <w:pStyle w:val="Heading1"/>
      </w:pPr>
      <w:bookmarkStart w:id="7" w:name="_Toc99562950"/>
      <w:r w:rsidRPr="00E834ED">
        <w:t>Group 10: Level 1 qualifications which may serve as a prerequisite to employment</w:t>
      </w:r>
      <w:bookmarkEnd w:id="7"/>
    </w:p>
    <w:p w14:paraId="3062E6B2" w14:textId="280389BD" w:rsidR="00C34237" w:rsidRPr="00E834ED" w:rsidRDefault="00C34237"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A small number of qualifications which may serve as a prerequisite for employment, including those which are linked to occupational regulation in certain routes.</w:t>
      </w:r>
    </w:p>
    <w:p w14:paraId="5D39096A" w14:textId="77777777" w:rsidR="00C34237" w:rsidRPr="00E834ED" w:rsidRDefault="00C34237"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To be in scope for funding these qualifications must:</w:t>
      </w:r>
    </w:p>
    <w:p w14:paraId="702AFDAC" w14:textId="77777777" w:rsidR="00C34237" w:rsidRPr="00E834ED" w:rsidRDefault="00C34237"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necessary due to being linked to occupational regulation</w:t>
      </w:r>
    </w:p>
    <w:p w14:paraId="3C52AB57" w14:textId="77777777" w:rsidR="00C34237" w:rsidRPr="00E834ED" w:rsidRDefault="00C34237"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 Be available to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w:t>
      </w:r>
    </w:p>
    <w:p w14:paraId="4A840C2F" w14:textId="77777777" w:rsidR="00C34237" w:rsidRPr="00E834ED" w:rsidRDefault="00C34237"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small, with a guideline maximum size of 100 GLH</w:t>
      </w:r>
    </w:p>
    <w:p w14:paraId="46D45046" w14:textId="77777777" w:rsidR="00C34237" w:rsidRPr="00E834ED" w:rsidRDefault="00C34237"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61153793" w14:textId="438E3C18" w:rsidR="00C34237" w:rsidRPr="00E834ED" w:rsidRDefault="00C34237"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Qualifications could include health and safety qualifications that could</w:t>
      </w:r>
      <w:r w:rsidR="003B00AB" w:rsidRPr="00E834ED">
        <w:rPr>
          <w:rFonts w:ascii="Tahoma" w:hAnsi="Tahoma" w:cs="Tahoma"/>
          <w:sz w:val="23"/>
          <w:szCs w:val="23"/>
        </w:rPr>
        <w:t xml:space="preserve"> help to secure a CSCS card to access work in the on-site construction pathway</w:t>
      </w:r>
    </w:p>
    <w:p w14:paraId="56E4D3DB" w14:textId="77777777" w:rsidR="003F4379" w:rsidRPr="00300531" w:rsidRDefault="003F4379" w:rsidP="003F4379">
      <w:pPr>
        <w:rPr>
          <w:rFonts w:ascii="Tahoma" w:hAnsi="Tahoma" w:cs="Tahoma"/>
          <w:i/>
          <w:iCs/>
          <w:sz w:val="23"/>
          <w:szCs w:val="23"/>
        </w:rPr>
      </w:pPr>
      <w:r w:rsidRPr="00300531">
        <w:rPr>
          <w:rFonts w:ascii="Tahoma" w:hAnsi="Tahoma" w:cs="Tahoma"/>
          <w:i/>
          <w:iCs/>
          <w:sz w:val="23"/>
          <w:szCs w:val="23"/>
        </w:rPr>
        <w:t>15. Do you agree that we should fund level 1 qualifications which act as a prerequisite to employment?</w:t>
      </w:r>
    </w:p>
    <w:p w14:paraId="23A063DC" w14:textId="77777777" w:rsidR="003F4379" w:rsidRPr="00E834ED" w:rsidRDefault="003F4379" w:rsidP="003F4379">
      <w:pPr>
        <w:rPr>
          <w:rFonts w:ascii="Tahoma" w:hAnsi="Tahoma" w:cs="Tahoma"/>
          <w:sz w:val="23"/>
          <w:szCs w:val="23"/>
        </w:rPr>
      </w:pPr>
      <w:r w:rsidRPr="00E834ED">
        <w:rPr>
          <w:rFonts w:ascii="Tahoma" w:hAnsi="Tahoma" w:cs="Tahoma"/>
          <w:sz w:val="23"/>
          <w:szCs w:val="23"/>
        </w:rPr>
        <w:t xml:space="preserve"> Yes</w:t>
      </w:r>
    </w:p>
    <w:p w14:paraId="5B23A698" w14:textId="0A7F7792" w:rsidR="003F4379" w:rsidRDefault="003F4379" w:rsidP="003F4379">
      <w:pPr>
        <w:rPr>
          <w:rFonts w:ascii="Tahoma" w:hAnsi="Tahoma" w:cs="Tahoma"/>
          <w:i/>
          <w:iCs/>
          <w:sz w:val="23"/>
          <w:szCs w:val="23"/>
        </w:rPr>
      </w:pPr>
      <w:r w:rsidRPr="00300531">
        <w:rPr>
          <w:rFonts w:ascii="Tahoma" w:hAnsi="Tahoma" w:cs="Tahoma"/>
          <w:i/>
          <w:iCs/>
          <w:sz w:val="23"/>
          <w:szCs w:val="23"/>
        </w:rPr>
        <w:t>Please give reasons for your answer</w:t>
      </w:r>
    </w:p>
    <w:p w14:paraId="15BD8AE6" w14:textId="4D10936B" w:rsidR="00C34237" w:rsidRPr="00E834ED" w:rsidRDefault="00C31086" w:rsidP="000365FE">
      <w:pPr>
        <w:pStyle w:val="Heading1"/>
      </w:pPr>
      <w:bookmarkStart w:id="8" w:name="_Toc99562951"/>
      <w:r w:rsidRPr="00E834ED">
        <w:t>Group 11: Level 1 qualifications which are complementary to a study programme</w:t>
      </w:r>
      <w:bookmarkEnd w:id="8"/>
    </w:p>
    <w:p w14:paraId="074BBA80" w14:textId="77777777" w:rsidR="00EB41BC" w:rsidRPr="00E834ED" w:rsidRDefault="00EB41BC"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a small number of qualifications that are designed to be taken alongside a student’s main programme of study but do not form the core aim of a study programme</w:t>
      </w:r>
    </w:p>
    <w:p w14:paraId="7F3E79F7" w14:textId="77777777" w:rsidR="00EB41BC" w:rsidRPr="00E834ED" w:rsidRDefault="00EB41BC"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To be in scope for funding these qualifications must be:</w:t>
      </w:r>
    </w:p>
    <w:p w14:paraId="1ADA0526" w14:textId="77777777" w:rsidR="00EB41BC" w:rsidRPr="00E834ED" w:rsidRDefault="00EB41BC"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Designed to be taken alongside a student’s main programme of study</w:t>
      </w:r>
    </w:p>
    <w:p w14:paraId="39044591" w14:textId="77777777" w:rsidR="00EB41BC" w:rsidRPr="00E834ED" w:rsidRDefault="00EB41BC"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 Available to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w:t>
      </w:r>
    </w:p>
    <w:p w14:paraId="73ED9F71" w14:textId="77777777" w:rsidR="00EB41BC" w:rsidRPr="00E834ED" w:rsidRDefault="00EB41BC"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72AD78EB" w14:textId="1F79AE42" w:rsidR="00C34237" w:rsidRPr="00E834ED" w:rsidRDefault="00EB41BC"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Qualifications in this group are limited to level 1 performing arts graded qualifications and Foundation Project Qualifications.</w:t>
      </w:r>
    </w:p>
    <w:p w14:paraId="25FA4EAF" w14:textId="77777777" w:rsidR="003F4379" w:rsidRPr="00C14033" w:rsidRDefault="003F4379" w:rsidP="003F4379">
      <w:pPr>
        <w:rPr>
          <w:rFonts w:ascii="Tahoma" w:hAnsi="Tahoma" w:cs="Tahoma"/>
          <w:i/>
          <w:iCs/>
          <w:sz w:val="23"/>
          <w:szCs w:val="23"/>
        </w:rPr>
      </w:pPr>
      <w:r w:rsidRPr="00C14033">
        <w:rPr>
          <w:rFonts w:ascii="Tahoma" w:hAnsi="Tahoma" w:cs="Tahoma"/>
          <w:i/>
          <w:iCs/>
          <w:sz w:val="23"/>
          <w:szCs w:val="23"/>
        </w:rPr>
        <w:t>16. Do you agree that we should continue to fund level 1 graded qualifications in performing arts in their current form?</w:t>
      </w:r>
    </w:p>
    <w:p w14:paraId="0EA958EF" w14:textId="77777777" w:rsidR="003F4379" w:rsidRPr="00300531" w:rsidRDefault="003F4379" w:rsidP="003F4379">
      <w:pPr>
        <w:rPr>
          <w:rFonts w:ascii="Tahoma" w:hAnsi="Tahoma" w:cs="Tahoma"/>
          <w:sz w:val="23"/>
          <w:szCs w:val="23"/>
        </w:rPr>
      </w:pPr>
      <w:r w:rsidRPr="00300531">
        <w:rPr>
          <w:rFonts w:ascii="Tahoma" w:hAnsi="Tahoma" w:cs="Tahoma"/>
          <w:sz w:val="23"/>
          <w:szCs w:val="23"/>
        </w:rPr>
        <w:t xml:space="preserve"> Yes</w:t>
      </w:r>
    </w:p>
    <w:p w14:paraId="5F3E9327" w14:textId="77777777" w:rsidR="003F4379" w:rsidRPr="00C14033" w:rsidRDefault="003F4379" w:rsidP="003F4379">
      <w:pPr>
        <w:rPr>
          <w:rFonts w:ascii="Tahoma" w:hAnsi="Tahoma" w:cs="Tahoma"/>
          <w:i/>
          <w:iCs/>
          <w:sz w:val="23"/>
          <w:szCs w:val="23"/>
        </w:rPr>
      </w:pPr>
      <w:r w:rsidRPr="00C14033">
        <w:rPr>
          <w:rFonts w:ascii="Tahoma" w:hAnsi="Tahoma" w:cs="Tahoma"/>
          <w:i/>
          <w:iCs/>
          <w:sz w:val="23"/>
          <w:szCs w:val="23"/>
        </w:rPr>
        <w:t>Please give reasons for your answer</w:t>
      </w:r>
    </w:p>
    <w:p w14:paraId="075194C3" w14:textId="77777777" w:rsidR="00C14033" w:rsidRPr="00C14033" w:rsidRDefault="00C14033" w:rsidP="00C14033">
      <w:pPr>
        <w:rPr>
          <w:rFonts w:ascii="Tahoma" w:hAnsi="Tahoma" w:cs="Tahoma"/>
          <w:sz w:val="23"/>
          <w:szCs w:val="23"/>
        </w:rPr>
      </w:pPr>
      <w:r w:rsidRPr="00C14033">
        <w:rPr>
          <w:rFonts w:ascii="Tahoma" w:hAnsi="Tahoma" w:cs="Tahoma"/>
          <w:sz w:val="23"/>
          <w:szCs w:val="23"/>
        </w:rPr>
        <w:t>No comment</w:t>
      </w:r>
    </w:p>
    <w:p w14:paraId="7EA02E0F" w14:textId="6DFACAB0" w:rsidR="003F4379" w:rsidRPr="00C14033" w:rsidRDefault="003F4379" w:rsidP="003F4379">
      <w:pPr>
        <w:rPr>
          <w:rFonts w:ascii="Tahoma" w:hAnsi="Tahoma" w:cs="Tahoma"/>
          <w:i/>
          <w:iCs/>
          <w:sz w:val="23"/>
          <w:szCs w:val="23"/>
        </w:rPr>
      </w:pPr>
      <w:r w:rsidRPr="00C14033">
        <w:rPr>
          <w:rFonts w:ascii="Tahoma" w:hAnsi="Tahoma" w:cs="Tahoma"/>
          <w:i/>
          <w:iCs/>
          <w:sz w:val="23"/>
          <w:szCs w:val="23"/>
        </w:rPr>
        <w:t xml:space="preserve">Do you agree that we should continue to fund level 1 Foundation Project Qualifications in their current form?   </w:t>
      </w:r>
    </w:p>
    <w:p w14:paraId="6213EF0E" w14:textId="77777777" w:rsidR="003F4379" w:rsidRPr="00300531" w:rsidRDefault="003F4379" w:rsidP="003F4379">
      <w:pPr>
        <w:rPr>
          <w:rFonts w:ascii="Tahoma" w:hAnsi="Tahoma" w:cs="Tahoma"/>
          <w:sz w:val="23"/>
          <w:szCs w:val="23"/>
        </w:rPr>
      </w:pPr>
      <w:r w:rsidRPr="00300531">
        <w:rPr>
          <w:rFonts w:ascii="Tahoma" w:hAnsi="Tahoma" w:cs="Tahoma"/>
          <w:sz w:val="23"/>
          <w:szCs w:val="23"/>
        </w:rPr>
        <w:t xml:space="preserve"> Yes</w:t>
      </w:r>
    </w:p>
    <w:p w14:paraId="3644317D" w14:textId="77777777" w:rsidR="003F4379" w:rsidRPr="00C14033" w:rsidRDefault="003F4379" w:rsidP="003F4379">
      <w:pPr>
        <w:rPr>
          <w:rFonts w:ascii="Tahoma" w:hAnsi="Tahoma" w:cs="Tahoma"/>
          <w:i/>
          <w:iCs/>
          <w:sz w:val="23"/>
          <w:szCs w:val="23"/>
        </w:rPr>
      </w:pPr>
      <w:r w:rsidRPr="00C14033">
        <w:rPr>
          <w:rFonts w:ascii="Tahoma" w:hAnsi="Tahoma" w:cs="Tahoma"/>
          <w:i/>
          <w:iCs/>
          <w:sz w:val="23"/>
          <w:szCs w:val="23"/>
        </w:rPr>
        <w:t>Please give reasons for your answer</w:t>
      </w:r>
    </w:p>
    <w:p w14:paraId="4127012F" w14:textId="3982690E" w:rsidR="003F4379" w:rsidRPr="00C14033" w:rsidRDefault="00C14033" w:rsidP="00EB41BC">
      <w:pPr>
        <w:rPr>
          <w:rFonts w:ascii="Tahoma" w:hAnsi="Tahoma" w:cs="Tahoma"/>
          <w:sz w:val="23"/>
          <w:szCs w:val="23"/>
        </w:rPr>
      </w:pPr>
      <w:r w:rsidRPr="00C14033">
        <w:rPr>
          <w:rFonts w:ascii="Tahoma" w:hAnsi="Tahoma" w:cs="Tahoma"/>
          <w:sz w:val="23"/>
          <w:szCs w:val="23"/>
        </w:rPr>
        <w:lastRenderedPageBreak/>
        <w:t>No comment</w:t>
      </w:r>
    </w:p>
    <w:p w14:paraId="174283D2" w14:textId="77777777" w:rsidR="003F4379" w:rsidRPr="00E834ED" w:rsidRDefault="003F4379" w:rsidP="00EB41BC">
      <w:pPr>
        <w:rPr>
          <w:rFonts w:ascii="Tahoma" w:hAnsi="Tahoma" w:cs="Tahoma"/>
          <w:b/>
          <w:bCs/>
          <w:sz w:val="23"/>
          <w:szCs w:val="23"/>
        </w:rPr>
      </w:pPr>
    </w:p>
    <w:p w14:paraId="448C8EE5" w14:textId="3AF4171A" w:rsidR="00DD48B9" w:rsidRPr="00E834ED" w:rsidRDefault="00DD48B9" w:rsidP="000365FE">
      <w:pPr>
        <w:pStyle w:val="Heading1"/>
      </w:pPr>
      <w:bookmarkStart w:id="9" w:name="_Toc99562952"/>
      <w:r w:rsidRPr="00E834ED">
        <w:t>Group 14: Entry level pre-technical qualifications</w:t>
      </w:r>
      <w:bookmarkEnd w:id="9"/>
    </w:p>
    <w:p w14:paraId="7FB4B75B" w14:textId="77777777" w:rsidR="00DD48B9" w:rsidRPr="00E834ED" w:rsidRDefault="00DD48B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entry level 3 qualifications which lead directly to a level 1 pre- technical qualification</w:t>
      </w:r>
    </w:p>
    <w:p w14:paraId="52EB0E00" w14:textId="77777777" w:rsidR="00DD48B9" w:rsidRPr="00E834ED" w:rsidRDefault="00DD48B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To be in scope for funding these qualifications must:</w:t>
      </w:r>
    </w:p>
    <w:p w14:paraId="1E84FE3A" w14:textId="77777777" w:rsidR="00DD48B9" w:rsidRPr="00E834ED" w:rsidRDefault="00DD48B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high-quality and equivalent to entry level 3</w:t>
      </w:r>
    </w:p>
    <w:p w14:paraId="6F19C3F2" w14:textId="77777777" w:rsidR="00DD48B9" w:rsidRPr="00E834ED" w:rsidRDefault="00DD48B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small to medium in size (less than half the size of a 16 to 19 study programme), with a guideline size of 120-280 GLH</w:t>
      </w:r>
    </w:p>
    <w:p w14:paraId="4A7F02B0" w14:textId="77777777" w:rsidR="00DD48B9" w:rsidRPr="00E834ED" w:rsidRDefault="00DD48B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xml:space="preserve">• Be available to both </w:t>
      </w:r>
      <w:proofErr w:type="gramStart"/>
      <w:r w:rsidRPr="00E834ED">
        <w:rPr>
          <w:rFonts w:ascii="Tahoma" w:hAnsi="Tahoma" w:cs="Tahoma"/>
          <w:sz w:val="23"/>
          <w:szCs w:val="23"/>
        </w:rPr>
        <w:t>16 to 19 year olds</w:t>
      </w:r>
      <w:proofErr w:type="gramEnd"/>
      <w:r w:rsidRPr="00E834ED">
        <w:rPr>
          <w:rFonts w:ascii="Tahoma" w:hAnsi="Tahoma" w:cs="Tahoma"/>
          <w:sz w:val="23"/>
          <w:szCs w:val="23"/>
        </w:rPr>
        <w:t xml:space="preserve"> and adults</w:t>
      </w:r>
    </w:p>
    <w:p w14:paraId="059709CF" w14:textId="77777777" w:rsidR="00DD48B9" w:rsidRPr="00E834ED" w:rsidRDefault="00DD48B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49E48338" w14:textId="0E6004F2" w:rsidR="00DD48B9" w:rsidRPr="00E834ED" w:rsidRDefault="00DD48B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A qualification providing an overview of the hair and beauty occupational route and providing a taster of different occupations within that route.</w:t>
      </w:r>
    </w:p>
    <w:p w14:paraId="6D556C41" w14:textId="77777777" w:rsidR="003F4379" w:rsidRPr="00F17883" w:rsidRDefault="003F4379" w:rsidP="003F4379">
      <w:pPr>
        <w:rPr>
          <w:rFonts w:ascii="Tahoma" w:hAnsi="Tahoma" w:cs="Tahoma"/>
          <w:i/>
          <w:iCs/>
          <w:sz w:val="23"/>
          <w:szCs w:val="23"/>
        </w:rPr>
      </w:pPr>
      <w:r w:rsidRPr="00F17883">
        <w:rPr>
          <w:rFonts w:ascii="Tahoma" w:hAnsi="Tahoma" w:cs="Tahoma"/>
          <w:i/>
          <w:iCs/>
          <w:sz w:val="23"/>
          <w:szCs w:val="23"/>
        </w:rPr>
        <w:t>17. Do you agree that we should fund entry level 3 pre-technical qualifications that support progression to level 1 study?</w:t>
      </w:r>
    </w:p>
    <w:p w14:paraId="0126FBEB" w14:textId="77777777" w:rsidR="003F4379" w:rsidRPr="00E834ED" w:rsidRDefault="003F4379" w:rsidP="003F4379">
      <w:pPr>
        <w:rPr>
          <w:rFonts w:ascii="Tahoma" w:hAnsi="Tahoma" w:cs="Tahoma"/>
          <w:sz w:val="23"/>
          <w:szCs w:val="23"/>
        </w:rPr>
      </w:pPr>
      <w:r w:rsidRPr="00E834ED">
        <w:rPr>
          <w:rFonts w:ascii="Tahoma" w:hAnsi="Tahoma" w:cs="Tahoma"/>
          <w:sz w:val="23"/>
          <w:szCs w:val="23"/>
        </w:rPr>
        <w:t xml:space="preserve"> Yes</w:t>
      </w:r>
    </w:p>
    <w:p w14:paraId="4F9B150D" w14:textId="77777777" w:rsidR="003F4379" w:rsidRPr="00F17883" w:rsidRDefault="003F4379" w:rsidP="003F4379">
      <w:pPr>
        <w:rPr>
          <w:rFonts w:ascii="Tahoma" w:hAnsi="Tahoma" w:cs="Tahoma"/>
          <w:i/>
          <w:iCs/>
          <w:sz w:val="23"/>
          <w:szCs w:val="23"/>
        </w:rPr>
      </w:pPr>
      <w:r w:rsidRPr="00F17883">
        <w:rPr>
          <w:rFonts w:ascii="Tahoma" w:hAnsi="Tahoma" w:cs="Tahoma"/>
          <w:i/>
          <w:iCs/>
          <w:sz w:val="23"/>
          <w:szCs w:val="23"/>
        </w:rPr>
        <w:t xml:space="preserve">Do you agree that, for </w:t>
      </w:r>
      <w:proofErr w:type="gramStart"/>
      <w:r w:rsidRPr="00F17883">
        <w:rPr>
          <w:rFonts w:ascii="Tahoma" w:hAnsi="Tahoma" w:cs="Tahoma"/>
          <w:i/>
          <w:iCs/>
          <w:sz w:val="23"/>
          <w:szCs w:val="23"/>
        </w:rPr>
        <w:t>16 to 19 year olds</w:t>
      </w:r>
      <w:proofErr w:type="gramEnd"/>
      <w:r w:rsidRPr="00F17883">
        <w:rPr>
          <w:rFonts w:ascii="Tahoma" w:hAnsi="Tahoma" w:cs="Tahoma"/>
          <w:i/>
          <w:iCs/>
          <w:sz w:val="23"/>
          <w:szCs w:val="23"/>
        </w:rPr>
        <w:t>, qualifications in this group should be small to medium sized, with a guideline size of 120-280 GLH?</w:t>
      </w:r>
    </w:p>
    <w:p w14:paraId="0B8373C9" w14:textId="77777777" w:rsidR="003F4379" w:rsidRPr="00E834ED" w:rsidRDefault="003F4379" w:rsidP="003F4379">
      <w:pPr>
        <w:rPr>
          <w:rFonts w:ascii="Tahoma" w:hAnsi="Tahoma" w:cs="Tahoma"/>
          <w:sz w:val="23"/>
          <w:szCs w:val="23"/>
        </w:rPr>
      </w:pPr>
      <w:r w:rsidRPr="00E834ED">
        <w:rPr>
          <w:rFonts w:ascii="Tahoma" w:hAnsi="Tahoma" w:cs="Tahoma"/>
          <w:sz w:val="23"/>
          <w:szCs w:val="23"/>
        </w:rPr>
        <w:t>No</w:t>
      </w:r>
    </w:p>
    <w:p w14:paraId="4CFD9FB7" w14:textId="77777777" w:rsidR="003F4379" w:rsidRPr="00E834ED" w:rsidRDefault="003F4379" w:rsidP="003F4379">
      <w:pPr>
        <w:rPr>
          <w:rFonts w:ascii="Tahoma" w:hAnsi="Tahoma" w:cs="Tahoma"/>
          <w:sz w:val="23"/>
          <w:szCs w:val="23"/>
        </w:rPr>
      </w:pPr>
      <w:r w:rsidRPr="00E834ED">
        <w:rPr>
          <w:rFonts w:ascii="Tahoma" w:hAnsi="Tahoma" w:cs="Tahoma"/>
          <w:sz w:val="23"/>
          <w:szCs w:val="23"/>
        </w:rPr>
        <w:t>Please give reasons for your answers</w:t>
      </w:r>
    </w:p>
    <w:p w14:paraId="38E50413" w14:textId="6612CC7B" w:rsidR="003F4379" w:rsidRPr="00E834ED" w:rsidRDefault="003F4379" w:rsidP="003F4379">
      <w:pPr>
        <w:rPr>
          <w:rFonts w:ascii="Tahoma" w:hAnsi="Tahoma" w:cs="Tahoma"/>
          <w:sz w:val="23"/>
          <w:szCs w:val="23"/>
        </w:rPr>
      </w:pPr>
      <w:r w:rsidRPr="00F17883">
        <w:rPr>
          <w:rFonts w:ascii="Tahoma" w:hAnsi="Tahoma" w:cs="Tahoma"/>
          <w:sz w:val="23"/>
          <w:szCs w:val="23"/>
        </w:rPr>
        <w:t>This will sometimes be too large. Entry and L1 qualifications could be smaller than 120GLH.</w:t>
      </w:r>
      <w:r w:rsidR="00AA6A89">
        <w:rPr>
          <w:rFonts w:ascii="Tahoma" w:hAnsi="Tahoma" w:cs="Tahoma"/>
          <w:sz w:val="23"/>
          <w:szCs w:val="23"/>
        </w:rPr>
        <w:t xml:space="preserve">  In </w:t>
      </w:r>
      <w:proofErr w:type="gramStart"/>
      <w:r w:rsidR="00AA6A89">
        <w:rPr>
          <w:rFonts w:ascii="Tahoma" w:hAnsi="Tahoma" w:cs="Tahoma"/>
          <w:sz w:val="23"/>
          <w:szCs w:val="23"/>
        </w:rPr>
        <w:t>land based</w:t>
      </w:r>
      <w:proofErr w:type="gramEnd"/>
      <w:r w:rsidR="00AA6A89">
        <w:rPr>
          <w:rFonts w:ascii="Tahoma" w:hAnsi="Tahoma" w:cs="Tahoma"/>
          <w:sz w:val="23"/>
          <w:szCs w:val="23"/>
        </w:rPr>
        <w:t xml:space="preserve"> sector these qualifications are often used for community projects, often with disadvantaged groups.  They do not plan to enter occupations or progress, but these qualifications can be transformational firstly for the achievement and the life skills, but also the progression that can happen on the back of this achievement.  </w:t>
      </w:r>
    </w:p>
    <w:p w14:paraId="1948B4AD" w14:textId="4A942E48" w:rsidR="003F4379" w:rsidRDefault="003F4379" w:rsidP="000365FE">
      <w:pPr>
        <w:pStyle w:val="Heading1"/>
        <w:pBdr>
          <w:left w:val="single" w:sz="4" w:space="1" w:color="auto"/>
          <w:right w:val="single" w:sz="4" w:space="1" w:color="auto"/>
        </w:pBdr>
      </w:pPr>
      <w:bookmarkStart w:id="10" w:name="_Toc99562953"/>
      <w:r w:rsidRPr="00E834ED">
        <w:t>Group 15: Entry level qualifications which are complementary to a study programme</w:t>
      </w:r>
      <w:bookmarkEnd w:id="10"/>
    </w:p>
    <w:p w14:paraId="080B1E42" w14:textId="77777777" w:rsidR="000365FE" w:rsidRPr="000365FE" w:rsidRDefault="000365FE" w:rsidP="000365FE">
      <w:pPr>
        <w:pBdr>
          <w:top w:val="single" w:sz="4" w:space="1" w:color="auto"/>
          <w:left w:val="single" w:sz="4" w:space="1" w:color="auto"/>
          <w:bottom w:val="single" w:sz="4" w:space="1" w:color="auto"/>
          <w:right w:val="single" w:sz="4" w:space="1" w:color="auto"/>
        </w:pBdr>
        <w:shd w:val="clear" w:color="auto" w:fill="E2EFD9" w:themeFill="accent6" w:themeFillTint="33"/>
        <w:rPr>
          <w:rFonts w:ascii="Tahoma" w:hAnsi="Tahoma" w:cs="Tahoma"/>
          <w:sz w:val="23"/>
          <w:szCs w:val="23"/>
        </w:rPr>
      </w:pPr>
      <w:r w:rsidRPr="000365FE">
        <w:rPr>
          <w:rFonts w:ascii="Tahoma" w:hAnsi="Tahoma" w:cs="Tahoma"/>
          <w:sz w:val="23"/>
          <w:szCs w:val="23"/>
        </w:rPr>
        <w:t>We propose to fund qualifications at entry level which allow students to develop additional skills and are complementary to a study programme. These are performing arts graded examination qualifications</w:t>
      </w:r>
    </w:p>
    <w:p w14:paraId="2D9481BA" w14:textId="77777777" w:rsidR="000365FE" w:rsidRPr="000365FE" w:rsidRDefault="000365FE" w:rsidP="000365FE">
      <w:pPr>
        <w:pBdr>
          <w:top w:val="single" w:sz="4" w:space="1" w:color="auto"/>
          <w:left w:val="single" w:sz="4" w:space="1" w:color="auto"/>
          <w:bottom w:val="single" w:sz="4" w:space="1" w:color="auto"/>
          <w:right w:val="single" w:sz="4" w:space="1" w:color="auto"/>
        </w:pBdr>
        <w:shd w:val="clear" w:color="auto" w:fill="E2EFD9" w:themeFill="accent6" w:themeFillTint="33"/>
        <w:rPr>
          <w:rFonts w:ascii="Tahoma" w:hAnsi="Tahoma" w:cs="Tahoma"/>
          <w:sz w:val="23"/>
          <w:szCs w:val="23"/>
        </w:rPr>
      </w:pPr>
      <w:r w:rsidRPr="000365FE">
        <w:rPr>
          <w:rFonts w:ascii="Tahoma" w:hAnsi="Tahoma" w:cs="Tahoma"/>
          <w:sz w:val="23"/>
          <w:szCs w:val="23"/>
        </w:rPr>
        <w:t>To be in scope for funding these qualifications must:</w:t>
      </w:r>
    </w:p>
    <w:p w14:paraId="35417571" w14:textId="77777777" w:rsidR="000365FE" w:rsidRPr="000365FE" w:rsidRDefault="000365FE" w:rsidP="000365FE">
      <w:pPr>
        <w:pBdr>
          <w:top w:val="single" w:sz="4" w:space="1" w:color="auto"/>
          <w:left w:val="single" w:sz="4" w:space="1" w:color="auto"/>
          <w:bottom w:val="single" w:sz="4" w:space="1" w:color="auto"/>
          <w:right w:val="single" w:sz="4" w:space="1" w:color="auto"/>
        </w:pBdr>
        <w:shd w:val="clear" w:color="auto" w:fill="E2EFD9" w:themeFill="accent6" w:themeFillTint="33"/>
        <w:rPr>
          <w:rFonts w:ascii="Tahoma" w:hAnsi="Tahoma" w:cs="Tahoma"/>
          <w:sz w:val="23"/>
          <w:szCs w:val="23"/>
        </w:rPr>
      </w:pPr>
      <w:r w:rsidRPr="000365FE">
        <w:rPr>
          <w:rFonts w:ascii="Tahoma" w:hAnsi="Tahoma" w:cs="Tahoma"/>
          <w:sz w:val="23"/>
          <w:szCs w:val="23"/>
        </w:rPr>
        <w:t>• Be entry level performing arts graded qualifications</w:t>
      </w:r>
    </w:p>
    <w:p w14:paraId="31C059C6" w14:textId="2B4344B9" w:rsidR="000365FE" w:rsidRPr="000365FE" w:rsidRDefault="000365FE" w:rsidP="000365FE">
      <w:pPr>
        <w:pBdr>
          <w:top w:val="single" w:sz="4" w:space="1" w:color="auto"/>
          <w:left w:val="single" w:sz="4" w:space="1" w:color="auto"/>
          <w:bottom w:val="single" w:sz="4" w:space="1" w:color="auto"/>
          <w:right w:val="single" w:sz="4" w:space="1" w:color="auto"/>
        </w:pBdr>
        <w:shd w:val="clear" w:color="auto" w:fill="E2EFD9" w:themeFill="accent6" w:themeFillTint="33"/>
        <w:rPr>
          <w:rFonts w:ascii="Tahoma" w:hAnsi="Tahoma" w:cs="Tahoma"/>
          <w:sz w:val="23"/>
          <w:szCs w:val="23"/>
        </w:rPr>
      </w:pPr>
      <w:r w:rsidRPr="000365FE">
        <w:rPr>
          <w:rFonts w:ascii="Tahoma" w:hAnsi="Tahoma" w:cs="Tahoma"/>
          <w:sz w:val="23"/>
          <w:szCs w:val="23"/>
        </w:rPr>
        <w:t xml:space="preserve">• Be available to both </w:t>
      </w:r>
      <w:proofErr w:type="gramStart"/>
      <w:r w:rsidRPr="000365FE">
        <w:rPr>
          <w:rFonts w:ascii="Tahoma" w:hAnsi="Tahoma" w:cs="Tahoma"/>
          <w:sz w:val="23"/>
          <w:szCs w:val="23"/>
        </w:rPr>
        <w:t>16 to 19 year olds</w:t>
      </w:r>
      <w:proofErr w:type="gramEnd"/>
      <w:r w:rsidRPr="000365FE">
        <w:rPr>
          <w:rFonts w:ascii="Tahoma" w:hAnsi="Tahoma" w:cs="Tahoma"/>
          <w:sz w:val="23"/>
          <w:szCs w:val="23"/>
        </w:rPr>
        <w:t xml:space="preserve"> and adults</w:t>
      </w:r>
    </w:p>
    <w:p w14:paraId="154815A2" w14:textId="77777777" w:rsidR="003F4379" w:rsidRPr="00F17883" w:rsidRDefault="003F4379" w:rsidP="003F4379">
      <w:pPr>
        <w:rPr>
          <w:rFonts w:ascii="Tahoma" w:hAnsi="Tahoma" w:cs="Tahoma"/>
          <w:i/>
          <w:iCs/>
          <w:sz w:val="23"/>
          <w:szCs w:val="23"/>
        </w:rPr>
      </w:pPr>
      <w:r w:rsidRPr="00F17883">
        <w:rPr>
          <w:rFonts w:ascii="Tahoma" w:hAnsi="Tahoma" w:cs="Tahoma"/>
          <w:i/>
          <w:iCs/>
          <w:sz w:val="23"/>
          <w:szCs w:val="23"/>
        </w:rPr>
        <w:t>18. Do you agree that we should continue to fund entry level graded qualifications in performing arts in their current form?</w:t>
      </w:r>
    </w:p>
    <w:p w14:paraId="0972B7F4" w14:textId="77777777" w:rsidR="003F4379" w:rsidRPr="00E834ED" w:rsidRDefault="003F4379" w:rsidP="003F4379">
      <w:pPr>
        <w:rPr>
          <w:rFonts w:ascii="Tahoma" w:hAnsi="Tahoma" w:cs="Tahoma"/>
          <w:sz w:val="23"/>
          <w:szCs w:val="23"/>
        </w:rPr>
      </w:pPr>
      <w:r w:rsidRPr="00E834ED">
        <w:rPr>
          <w:rFonts w:ascii="Tahoma" w:hAnsi="Tahoma" w:cs="Tahoma"/>
          <w:sz w:val="23"/>
          <w:szCs w:val="23"/>
        </w:rPr>
        <w:t xml:space="preserve"> Yes</w:t>
      </w:r>
    </w:p>
    <w:p w14:paraId="723B880F" w14:textId="5FC4BC87" w:rsidR="003F4379" w:rsidRDefault="003F4379" w:rsidP="003F4379">
      <w:pPr>
        <w:rPr>
          <w:rFonts w:ascii="Tahoma" w:hAnsi="Tahoma" w:cs="Tahoma"/>
          <w:i/>
          <w:iCs/>
          <w:sz w:val="23"/>
          <w:szCs w:val="23"/>
        </w:rPr>
      </w:pPr>
      <w:r w:rsidRPr="00F17883">
        <w:rPr>
          <w:rFonts w:ascii="Tahoma" w:hAnsi="Tahoma" w:cs="Tahoma"/>
          <w:i/>
          <w:iCs/>
          <w:sz w:val="23"/>
          <w:szCs w:val="23"/>
        </w:rPr>
        <w:lastRenderedPageBreak/>
        <w:t>Please give reasons for your answer</w:t>
      </w:r>
    </w:p>
    <w:p w14:paraId="15B335A7" w14:textId="77777777" w:rsidR="00C14033" w:rsidRPr="00C14033" w:rsidRDefault="00C14033" w:rsidP="00C14033">
      <w:pPr>
        <w:rPr>
          <w:rFonts w:ascii="Tahoma" w:hAnsi="Tahoma" w:cs="Tahoma"/>
          <w:sz w:val="23"/>
          <w:szCs w:val="23"/>
        </w:rPr>
      </w:pPr>
      <w:r w:rsidRPr="00C14033">
        <w:rPr>
          <w:rFonts w:ascii="Tahoma" w:hAnsi="Tahoma" w:cs="Tahoma"/>
          <w:sz w:val="23"/>
          <w:szCs w:val="23"/>
        </w:rPr>
        <w:t>No comment</w:t>
      </w:r>
    </w:p>
    <w:p w14:paraId="1DBAC0C8" w14:textId="77777777" w:rsidR="003F4379" w:rsidRPr="00E834ED" w:rsidRDefault="003F437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b/>
          <w:bCs/>
          <w:sz w:val="23"/>
          <w:szCs w:val="23"/>
        </w:rPr>
      </w:pPr>
      <w:r w:rsidRPr="00E834ED">
        <w:rPr>
          <w:rFonts w:ascii="Tahoma" w:hAnsi="Tahoma" w:cs="Tahoma"/>
          <w:b/>
          <w:bCs/>
          <w:sz w:val="23"/>
          <w:szCs w:val="23"/>
        </w:rPr>
        <w:t>Supporting adults: Design and delivery principles</w:t>
      </w:r>
    </w:p>
    <w:p w14:paraId="20828CF4" w14:textId="77777777" w:rsidR="003F4379" w:rsidRPr="00F17883" w:rsidRDefault="003F4379" w:rsidP="003F4379">
      <w:pPr>
        <w:rPr>
          <w:rFonts w:ascii="Tahoma" w:hAnsi="Tahoma" w:cs="Tahoma"/>
          <w:i/>
          <w:iCs/>
          <w:sz w:val="23"/>
          <w:szCs w:val="23"/>
        </w:rPr>
      </w:pPr>
      <w:r w:rsidRPr="00F17883">
        <w:rPr>
          <w:rFonts w:ascii="Tahoma" w:hAnsi="Tahoma" w:cs="Tahoma"/>
          <w:i/>
          <w:iCs/>
          <w:sz w:val="23"/>
          <w:szCs w:val="23"/>
        </w:rPr>
        <w:t>19. Do you agree that the design and delivery principles outlined in paragraphs 150 to 155 will ensure that level 2 technical qualifications are accessible to adults?</w:t>
      </w:r>
    </w:p>
    <w:p w14:paraId="4B662D61" w14:textId="77777777" w:rsidR="003F4379" w:rsidRPr="00E834ED" w:rsidRDefault="003F4379" w:rsidP="003F4379">
      <w:pPr>
        <w:rPr>
          <w:rFonts w:ascii="Tahoma" w:hAnsi="Tahoma" w:cs="Tahoma"/>
          <w:sz w:val="23"/>
          <w:szCs w:val="23"/>
        </w:rPr>
      </w:pPr>
      <w:r w:rsidRPr="00E834ED">
        <w:rPr>
          <w:rFonts w:ascii="Tahoma" w:hAnsi="Tahoma" w:cs="Tahoma"/>
          <w:sz w:val="23"/>
          <w:szCs w:val="23"/>
        </w:rPr>
        <w:t>No</w:t>
      </w:r>
    </w:p>
    <w:p w14:paraId="29E7B9AE" w14:textId="4BDD1354" w:rsidR="003F4379" w:rsidRDefault="003F4379" w:rsidP="003F4379">
      <w:pPr>
        <w:rPr>
          <w:rFonts w:ascii="Tahoma" w:hAnsi="Tahoma" w:cs="Tahoma"/>
          <w:i/>
          <w:iCs/>
          <w:sz w:val="23"/>
          <w:szCs w:val="23"/>
        </w:rPr>
      </w:pPr>
      <w:r w:rsidRPr="00F17883">
        <w:rPr>
          <w:rFonts w:ascii="Tahoma" w:hAnsi="Tahoma" w:cs="Tahoma"/>
          <w:i/>
          <w:iCs/>
          <w:sz w:val="23"/>
          <w:szCs w:val="23"/>
        </w:rPr>
        <w:t>Please give reasons for your answer</w:t>
      </w:r>
    </w:p>
    <w:p w14:paraId="7B3B6C1B" w14:textId="3AE2DAF3" w:rsidR="00960C02" w:rsidRPr="00960C02" w:rsidRDefault="006136B0" w:rsidP="003F4379">
      <w:pPr>
        <w:rPr>
          <w:rFonts w:ascii="Tahoma" w:hAnsi="Tahoma" w:cs="Tahoma"/>
          <w:sz w:val="23"/>
          <w:szCs w:val="23"/>
        </w:rPr>
      </w:pPr>
      <w:r>
        <w:rPr>
          <w:rFonts w:ascii="Tahoma" w:hAnsi="Tahoma" w:cs="Tahoma"/>
          <w:sz w:val="23"/>
          <w:szCs w:val="23"/>
        </w:rPr>
        <w:t>I</w:t>
      </w:r>
      <w:r w:rsidR="00960C02" w:rsidRPr="00960C02">
        <w:rPr>
          <w:rFonts w:ascii="Tahoma" w:hAnsi="Tahoma" w:cs="Tahoma"/>
          <w:sz w:val="23"/>
          <w:szCs w:val="23"/>
        </w:rPr>
        <w:t xml:space="preserve">n the </w:t>
      </w:r>
      <w:r w:rsidR="008D05A9" w:rsidRPr="00960C02">
        <w:rPr>
          <w:rFonts w:ascii="Tahoma" w:hAnsi="Tahoma" w:cs="Tahoma"/>
          <w:sz w:val="23"/>
          <w:szCs w:val="23"/>
        </w:rPr>
        <w:t>adults’</w:t>
      </w:r>
      <w:r w:rsidR="00960C02" w:rsidRPr="00960C02">
        <w:rPr>
          <w:rFonts w:ascii="Tahoma" w:hAnsi="Tahoma" w:cs="Tahoma"/>
          <w:sz w:val="23"/>
          <w:szCs w:val="23"/>
        </w:rPr>
        <w:t xml:space="preserve"> section of the consultation</w:t>
      </w:r>
      <w:r>
        <w:rPr>
          <w:rFonts w:ascii="Tahoma" w:hAnsi="Tahoma" w:cs="Tahoma"/>
          <w:sz w:val="23"/>
          <w:szCs w:val="23"/>
        </w:rPr>
        <w:t>, t</w:t>
      </w:r>
      <w:r w:rsidR="00960C02" w:rsidRPr="00960C02">
        <w:rPr>
          <w:rFonts w:ascii="Tahoma" w:hAnsi="Tahoma" w:cs="Tahoma"/>
          <w:sz w:val="23"/>
          <w:szCs w:val="23"/>
        </w:rPr>
        <w:t>he document leans heavily towards adults who are ‘low skilled, low paid and disadvantaged’. While funding for these groups is, of course, vital, it is imperative that funding is retained for adults who do not fit this group and who are already-skilled career changers. The horticultural industry is heavily reliant on this group for its workforce.</w:t>
      </w:r>
    </w:p>
    <w:p w14:paraId="39CB2114" w14:textId="41E58E0A" w:rsidR="003F4379" w:rsidRPr="00E834ED" w:rsidRDefault="003F4379" w:rsidP="003F4379">
      <w:pPr>
        <w:rPr>
          <w:rFonts w:ascii="Tahoma" w:hAnsi="Tahoma" w:cs="Tahoma"/>
          <w:sz w:val="23"/>
          <w:szCs w:val="23"/>
        </w:rPr>
      </w:pPr>
      <w:r w:rsidRPr="00E834ED">
        <w:rPr>
          <w:rFonts w:ascii="Tahoma" w:hAnsi="Tahoma" w:cs="Tahoma"/>
          <w:sz w:val="23"/>
          <w:szCs w:val="23"/>
        </w:rPr>
        <w:t xml:space="preserve">Paragraph 153 – the idea of modular delivery is strongly </w:t>
      </w:r>
      <w:r w:rsidR="00005501" w:rsidRPr="00E834ED">
        <w:rPr>
          <w:rFonts w:ascii="Tahoma" w:hAnsi="Tahoma" w:cs="Tahoma"/>
          <w:sz w:val="23"/>
          <w:szCs w:val="23"/>
        </w:rPr>
        <w:t>supported</w:t>
      </w:r>
      <w:r w:rsidR="008D05A9">
        <w:rPr>
          <w:rFonts w:ascii="Tahoma" w:hAnsi="Tahoma" w:cs="Tahoma"/>
          <w:sz w:val="23"/>
          <w:szCs w:val="23"/>
        </w:rPr>
        <w:t xml:space="preserve">, but </w:t>
      </w:r>
      <w:r w:rsidR="00C14033">
        <w:rPr>
          <w:rFonts w:ascii="Tahoma" w:hAnsi="Tahoma" w:cs="Tahoma"/>
          <w:sz w:val="23"/>
          <w:szCs w:val="23"/>
        </w:rPr>
        <w:t>this needs to enable learners to commit to smaller modules</w:t>
      </w:r>
      <w:r w:rsidR="005C0206">
        <w:rPr>
          <w:rFonts w:ascii="Tahoma" w:hAnsi="Tahoma" w:cs="Tahoma"/>
          <w:sz w:val="23"/>
          <w:szCs w:val="23"/>
        </w:rPr>
        <w:t xml:space="preserve"> (these might be significant learning – 120 GLH)</w:t>
      </w:r>
      <w:r w:rsidR="00C14033">
        <w:rPr>
          <w:rFonts w:ascii="Tahoma" w:hAnsi="Tahoma" w:cs="Tahoma"/>
          <w:sz w:val="23"/>
          <w:szCs w:val="23"/>
        </w:rPr>
        <w:t xml:space="preserve"> rather than the whole qualification</w:t>
      </w:r>
      <w:r w:rsidR="008D05A9">
        <w:rPr>
          <w:rFonts w:ascii="Tahoma" w:hAnsi="Tahoma" w:cs="Tahoma"/>
          <w:sz w:val="23"/>
          <w:szCs w:val="23"/>
        </w:rPr>
        <w:t xml:space="preserve">.  This should </w:t>
      </w:r>
      <w:r w:rsidR="00C14033">
        <w:rPr>
          <w:rFonts w:ascii="Tahoma" w:hAnsi="Tahoma" w:cs="Tahoma"/>
          <w:sz w:val="23"/>
          <w:szCs w:val="23"/>
        </w:rPr>
        <w:t>be supported by a system that accredits the learning that they have achieved.  Both employers and learners</w:t>
      </w:r>
      <w:r w:rsidR="00F96438">
        <w:rPr>
          <w:rFonts w:ascii="Tahoma" w:hAnsi="Tahoma" w:cs="Tahoma"/>
          <w:sz w:val="23"/>
          <w:szCs w:val="23"/>
        </w:rPr>
        <w:t xml:space="preserve"> (of any age)</w:t>
      </w:r>
      <w:r w:rsidR="00C14033">
        <w:rPr>
          <w:rFonts w:ascii="Tahoma" w:hAnsi="Tahoma" w:cs="Tahoma"/>
          <w:sz w:val="23"/>
          <w:szCs w:val="23"/>
        </w:rPr>
        <w:t xml:space="preserve"> are often daunted if they have to commit to long programme of </w:t>
      </w:r>
      <w:proofErr w:type="gramStart"/>
      <w:r w:rsidR="00C14033">
        <w:rPr>
          <w:rFonts w:ascii="Tahoma" w:hAnsi="Tahoma" w:cs="Tahoma"/>
          <w:sz w:val="23"/>
          <w:szCs w:val="23"/>
        </w:rPr>
        <w:t>learning, but</w:t>
      </w:r>
      <w:proofErr w:type="gramEnd"/>
      <w:r w:rsidR="00C14033">
        <w:rPr>
          <w:rFonts w:ascii="Tahoma" w:hAnsi="Tahoma" w:cs="Tahoma"/>
          <w:sz w:val="23"/>
          <w:szCs w:val="23"/>
        </w:rPr>
        <w:t xml:space="preserve"> may achieve this if they can undertake smaller </w:t>
      </w:r>
      <w:r w:rsidR="00F96438">
        <w:rPr>
          <w:rFonts w:ascii="Tahoma" w:hAnsi="Tahoma" w:cs="Tahoma"/>
          <w:sz w:val="23"/>
          <w:szCs w:val="23"/>
        </w:rPr>
        <w:t xml:space="preserve">modules one at a time.  </w:t>
      </w:r>
      <w:r w:rsidR="00C14033">
        <w:rPr>
          <w:rFonts w:ascii="Tahoma" w:hAnsi="Tahoma" w:cs="Tahoma"/>
          <w:sz w:val="23"/>
          <w:szCs w:val="23"/>
        </w:rPr>
        <w:t>L</w:t>
      </w:r>
      <w:r w:rsidRPr="00E834ED">
        <w:rPr>
          <w:rFonts w:ascii="Tahoma" w:hAnsi="Tahoma" w:cs="Tahoma"/>
          <w:sz w:val="23"/>
          <w:szCs w:val="23"/>
        </w:rPr>
        <w:t xml:space="preserve">earners who need to take breaks for family reasons or who need space between modules before they are able to move to the next one need their learning to be recognised and certificated.  </w:t>
      </w:r>
    </w:p>
    <w:p w14:paraId="3D958181" w14:textId="69B37785" w:rsidR="003F4379" w:rsidRPr="00E834ED" w:rsidRDefault="003F4379" w:rsidP="003F4379">
      <w:pPr>
        <w:rPr>
          <w:rFonts w:ascii="Tahoma" w:hAnsi="Tahoma" w:cs="Tahoma"/>
          <w:sz w:val="23"/>
          <w:szCs w:val="23"/>
        </w:rPr>
      </w:pPr>
      <w:r w:rsidRPr="00E834ED">
        <w:rPr>
          <w:rFonts w:ascii="Tahoma" w:hAnsi="Tahoma" w:cs="Tahoma"/>
          <w:sz w:val="23"/>
          <w:szCs w:val="23"/>
        </w:rPr>
        <w:t xml:space="preserve">Paragraph 154 will require all providers to assess learners and tailor the programme for them.  Prior learning works well if they have an accredited short course covering part of the </w:t>
      </w:r>
      <w:r w:rsidR="00F96438">
        <w:rPr>
          <w:rFonts w:ascii="Tahoma" w:hAnsi="Tahoma" w:cs="Tahoma"/>
          <w:sz w:val="23"/>
          <w:szCs w:val="23"/>
        </w:rPr>
        <w:t xml:space="preserve">qualification, </w:t>
      </w:r>
      <w:r w:rsidRPr="00E834ED">
        <w:rPr>
          <w:rFonts w:ascii="Tahoma" w:hAnsi="Tahoma" w:cs="Tahoma"/>
          <w:sz w:val="23"/>
          <w:szCs w:val="23"/>
        </w:rPr>
        <w:t xml:space="preserve">but this approach has problems when looking at skills developed in the work place. </w:t>
      </w:r>
      <w:r w:rsidR="00F96438" w:rsidRPr="00E834ED">
        <w:rPr>
          <w:rFonts w:ascii="Tahoma" w:hAnsi="Tahoma" w:cs="Tahoma"/>
          <w:sz w:val="23"/>
          <w:szCs w:val="23"/>
        </w:rPr>
        <w:t>It can make delivery very fragmented and challenging for both learner and training providers</w:t>
      </w:r>
      <w:r w:rsidR="005C0206">
        <w:rPr>
          <w:rFonts w:ascii="Tahoma" w:hAnsi="Tahoma" w:cs="Tahoma"/>
          <w:sz w:val="23"/>
          <w:szCs w:val="23"/>
        </w:rPr>
        <w:t xml:space="preserve"> and significantly impact on achievement of synoptic assessments where they have not been trained in all elements</w:t>
      </w:r>
      <w:r w:rsidR="00F96438">
        <w:rPr>
          <w:rFonts w:ascii="Tahoma" w:hAnsi="Tahoma" w:cs="Tahoma"/>
          <w:sz w:val="23"/>
          <w:szCs w:val="23"/>
        </w:rPr>
        <w:t xml:space="preserve">.  In </w:t>
      </w:r>
      <w:r w:rsidR="00005501">
        <w:rPr>
          <w:rFonts w:ascii="Tahoma" w:hAnsi="Tahoma" w:cs="Tahoma"/>
          <w:sz w:val="23"/>
          <w:szCs w:val="23"/>
        </w:rPr>
        <w:t>addition,</w:t>
      </w:r>
      <w:r w:rsidR="00F96438">
        <w:rPr>
          <w:rFonts w:ascii="Tahoma" w:hAnsi="Tahoma" w:cs="Tahoma"/>
          <w:sz w:val="23"/>
          <w:szCs w:val="23"/>
        </w:rPr>
        <w:t xml:space="preserve"> </w:t>
      </w:r>
      <w:r w:rsidR="005C0206">
        <w:rPr>
          <w:rFonts w:ascii="Tahoma" w:hAnsi="Tahoma" w:cs="Tahoma"/>
          <w:sz w:val="23"/>
          <w:szCs w:val="23"/>
        </w:rPr>
        <w:t>p</w:t>
      </w:r>
      <w:r w:rsidRPr="00E834ED">
        <w:rPr>
          <w:rFonts w:ascii="Tahoma" w:hAnsi="Tahoma" w:cs="Tahoma"/>
          <w:sz w:val="23"/>
          <w:szCs w:val="23"/>
        </w:rPr>
        <w:t xml:space="preserve">ractices can change rapidly in some topics including health and safety, sustainability, </w:t>
      </w:r>
      <w:proofErr w:type="gramStart"/>
      <w:r w:rsidRPr="00E834ED">
        <w:rPr>
          <w:rFonts w:ascii="Tahoma" w:hAnsi="Tahoma" w:cs="Tahoma"/>
          <w:sz w:val="23"/>
          <w:szCs w:val="23"/>
        </w:rPr>
        <w:t>science</w:t>
      </w:r>
      <w:proofErr w:type="gramEnd"/>
      <w:r w:rsidRPr="00E834ED">
        <w:rPr>
          <w:rFonts w:ascii="Tahoma" w:hAnsi="Tahoma" w:cs="Tahoma"/>
          <w:sz w:val="23"/>
          <w:szCs w:val="23"/>
        </w:rPr>
        <w:t xml:space="preserve"> and techniques underpinned by science.   Learning from 5 years ago can be outdated if not refreshed. They may not be working the standard required across the skills and knowledge.  </w:t>
      </w:r>
    </w:p>
    <w:p w14:paraId="2B95FB38" w14:textId="3A83BC49" w:rsidR="003F4379" w:rsidRPr="00E834ED" w:rsidRDefault="003F4379" w:rsidP="003F4379">
      <w:pPr>
        <w:rPr>
          <w:rFonts w:ascii="Tahoma" w:hAnsi="Tahoma" w:cs="Tahoma"/>
          <w:sz w:val="23"/>
          <w:szCs w:val="23"/>
        </w:rPr>
      </w:pPr>
      <w:r w:rsidRPr="00E834ED">
        <w:rPr>
          <w:rFonts w:ascii="Tahoma" w:hAnsi="Tahoma" w:cs="Tahoma"/>
          <w:sz w:val="23"/>
          <w:szCs w:val="23"/>
        </w:rPr>
        <w:t>Paragraph 15</w:t>
      </w:r>
      <w:r w:rsidR="005579C1">
        <w:rPr>
          <w:rFonts w:ascii="Tahoma" w:hAnsi="Tahoma" w:cs="Tahoma"/>
          <w:sz w:val="23"/>
          <w:szCs w:val="23"/>
        </w:rPr>
        <w:t>5</w:t>
      </w:r>
      <w:r w:rsidR="008D05A9">
        <w:rPr>
          <w:rFonts w:ascii="Tahoma" w:hAnsi="Tahoma" w:cs="Tahoma"/>
          <w:sz w:val="23"/>
          <w:szCs w:val="23"/>
        </w:rPr>
        <w:t xml:space="preserve"> -</w:t>
      </w:r>
      <w:r w:rsidRPr="00E834ED">
        <w:rPr>
          <w:rFonts w:ascii="Tahoma" w:hAnsi="Tahoma" w:cs="Tahoma"/>
          <w:sz w:val="23"/>
          <w:szCs w:val="23"/>
        </w:rPr>
        <w:t xml:space="preserve"> assessment methods that bring skills together are strongly supported, but lessons should be learnt from apprenticeships and the challenge that end tests can provide for some learners (as one form of summative assessment). </w:t>
      </w:r>
    </w:p>
    <w:p w14:paraId="33D36684" w14:textId="68C8D93B" w:rsidR="003F4379" w:rsidRPr="00E834ED" w:rsidRDefault="003F4379" w:rsidP="000365FE">
      <w:pPr>
        <w:pStyle w:val="Heading1"/>
      </w:pPr>
      <w:bookmarkStart w:id="11" w:name="_Toc99562954"/>
      <w:r w:rsidRPr="00E834ED">
        <w:t>Level 2 qualifications for adults</w:t>
      </w:r>
      <w:r w:rsidR="00653966">
        <w:t xml:space="preserve"> – groups for funding</w:t>
      </w:r>
      <w:bookmarkEnd w:id="11"/>
    </w:p>
    <w:p w14:paraId="5010A141" w14:textId="77777777" w:rsidR="003F4379" w:rsidRPr="00F17883" w:rsidRDefault="003F4379" w:rsidP="003F4379">
      <w:pPr>
        <w:rPr>
          <w:rFonts w:ascii="Tahoma" w:hAnsi="Tahoma" w:cs="Tahoma"/>
          <w:i/>
          <w:iCs/>
          <w:sz w:val="23"/>
          <w:szCs w:val="23"/>
        </w:rPr>
      </w:pPr>
      <w:r w:rsidRPr="00F17883">
        <w:rPr>
          <w:rFonts w:ascii="Tahoma" w:hAnsi="Tahoma" w:cs="Tahoma"/>
          <w:i/>
          <w:iCs/>
          <w:sz w:val="23"/>
          <w:szCs w:val="23"/>
        </w:rPr>
        <w:t>20. Do you agree that we should fund the following level 2 qualification groups for adult learners:</w:t>
      </w:r>
    </w:p>
    <w:tbl>
      <w:tblPr>
        <w:tblStyle w:val="TableGrid"/>
        <w:tblW w:w="8028" w:type="dxa"/>
        <w:tblLook w:val="04A0" w:firstRow="1" w:lastRow="0" w:firstColumn="1" w:lastColumn="0" w:noHBand="0" w:noVBand="1"/>
      </w:tblPr>
      <w:tblGrid>
        <w:gridCol w:w="6815"/>
        <w:gridCol w:w="629"/>
        <w:gridCol w:w="584"/>
      </w:tblGrid>
      <w:tr w:rsidR="003F4379" w:rsidRPr="00E834ED" w14:paraId="15AB4AD9" w14:textId="77777777" w:rsidTr="00AE256C">
        <w:tc>
          <w:tcPr>
            <w:tcW w:w="6815" w:type="dxa"/>
          </w:tcPr>
          <w:p w14:paraId="29072982" w14:textId="77777777" w:rsidR="003F4379" w:rsidRPr="00E834ED" w:rsidRDefault="003F4379" w:rsidP="00AE256C">
            <w:pPr>
              <w:rPr>
                <w:rFonts w:ascii="Tahoma" w:hAnsi="Tahoma" w:cs="Tahoma"/>
                <w:sz w:val="23"/>
                <w:szCs w:val="23"/>
              </w:rPr>
            </w:pPr>
          </w:p>
        </w:tc>
        <w:tc>
          <w:tcPr>
            <w:tcW w:w="629" w:type="dxa"/>
          </w:tcPr>
          <w:p w14:paraId="12D0337A" w14:textId="77777777" w:rsidR="003F4379" w:rsidRPr="00E834ED" w:rsidRDefault="003F4379" w:rsidP="00AE256C">
            <w:pPr>
              <w:rPr>
                <w:rFonts w:ascii="Tahoma" w:hAnsi="Tahoma" w:cs="Tahoma"/>
                <w:sz w:val="23"/>
                <w:szCs w:val="23"/>
              </w:rPr>
            </w:pPr>
            <w:r w:rsidRPr="00E834ED">
              <w:rPr>
                <w:rFonts w:ascii="Tahoma" w:hAnsi="Tahoma" w:cs="Tahoma"/>
                <w:sz w:val="23"/>
                <w:szCs w:val="23"/>
              </w:rPr>
              <w:t>Yes</w:t>
            </w:r>
          </w:p>
        </w:tc>
        <w:tc>
          <w:tcPr>
            <w:tcW w:w="584" w:type="dxa"/>
          </w:tcPr>
          <w:p w14:paraId="58537B3A" w14:textId="77777777" w:rsidR="003F4379" w:rsidRPr="00E834ED" w:rsidRDefault="003F4379" w:rsidP="00AE256C">
            <w:pPr>
              <w:rPr>
                <w:rFonts w:ascii="Tahoma" w:hAnsi="Tahoma" w:cs="Tahoma"/>
                <w:sz w:val="23"/>
                <w:szCs w:val="23"/>
              </w:rPr>
            </w:pPr>
            <w:r w:rsidRPr="00E834ED">
              <w:rPr>
                <w:rFonts w:ascii="Tahoma" w:hAnsi="Tahoma" w:cs="Tahoma"/>
                <w:sz w:val="23"/>
                <w:szCs w:val="23"/>
              </w:rPr>
              <w:t>No</w:t>
            </w:r>
          </w:p>
        </w:tc>
      </w:tr>
      <w:tr w:rsidR="003F4379" w:rsidRPr="00E834ED" w14:paraId="19097651" w14:textId="77777777" w:rsidTr="00AE256C">
        <w:tc>
          <w:tcPr>
            <w:tcW w:w="6815" w:type="dxa"/>
          </w:tcPr>
          <w:p w14:paraId="67631416" w14:textId="77777777" w:rsidR="003F4379" w:rsidRPr="00E834ED" w:rsidRDefault="003F4379" w:rsidP="00AE256C">
            <w:pPr>
              <w:rPr>
                <w:rFonts w:ascii="Tahoma" w:hAnsi="Tahoma" w:cs="Tahoma"/>
                <w:sz w:val="23"/>
                <w:szCs w:val="23"/>
              </w:rPr>
            </w:pPr>
            <w:r w:rsidRPr="00E834ED">
              <w:rPr>
                <w:rFonts w:ascii="Tahoma" w:hAnsi="Tahoma" w:cs="Tahoma"/>
                <w:sz w:val="23"/>
                <w:szCs w:val="23"/>
              </w:rPr>
              <w:t>Group 1: Qualifications supporting progression to level 3 technical study</w:t>
            </w:r>
            <w:r w:rsidRPr="00E834ED">
              <w:rPr>
                <w:rFonts w:ascii="Tahoma" w:hAnsi="Tahoma" w:cs="Tahoma"/>
                <w:sz w:val="23"/>
                <w:szCs w:val="23"/>
              </w:rPr>
              <w:tab/>
            </w:r>
          </w:p>
        </w:tc>
        <w:tc>
          <w:tcPr>
            <w:tcW w:w="629" w:type="dxa"/>
          </w:tcPr>
          <w:p w14:paraId="5F06851B" w14:textId="77777777" w:rsidR="003F4379" w:rsidRPr="00E834ED" w:rsidRDefault="003F4379" w:rsidP="00AE256C">
            <w:pPr>
              <w:rPr>
                <w:rFonts w:ascii="Tahoma" w:hAnsi="Tahoma" w:cs="Tahoma"/>
                <w:sz w:val="23"/>
                <w:szCs w:val="23"/>
              </w:rPr>
            </w:pPr>
            <w:r w:rsidRPr="00E834ED">
              <w:rPr>
                <w:rFonts w:ascii="Tahoma" w:hAnsi="Tahoma" w:cs="Tahoma"/>
                <w:sz w:val="23"/>
                <w:szCs w:val="23"/>
              </w:rPr>
              <w:t>yes</w:t>
            </w:r>
          </w:p>
        </w:tc>
        <w:tc>
          <w:tcPr>
            <w:tcW w:w="584" w:type="dxa"/>
          </w:tcPr>
          <w:p w14:paraId="182D32FB" w14:textId="77777777" w:rsidR="003F4379" w:rsidRPr="00E834ED" w:rsidRDefault="003F4379" w:rsidP="00AE256C">
            <w:pPr>
              <w:rPr>
                <w:rFonts w:ascii="Tahoma" w:hAnsi="Tahoma" w:cs="Tahoma"/>
                <w:sz w:val="23"/>
                <w:szCs w:val="23"/>
              </w:rPr>
            </w:pPr>
          </w:p>
        </w:tc>
      </w:tr>
      <w:tr w:rsidR="003F4379" w:rsidRPr="00E834ED" w14:paraId="629AA644" w14:textId="77777777" w:rsidTr="00AE256C">
        <w:tc>
          <w:tcPr>
            <w:tcW w:w="6815" w:type="dxa"/>
          </w:tcPr>
          <w:p w14:paraId="1B0CBE92" w14:textId="77777777" w:rsidR="003F4379" w:rsidRPr="00E834ED" w:rsidRDefault="003F4379" w:rsidP="00AE256C">
            <w:pPr>
              <w:rPr>
                <w:rFonts w:ascii="Tahoma" w:hAnsi="Tahoma" w:cs="Tahoma"/>
                <w:sz w:val="23"/>
                <w:szCs w:val="23"/>
              </w:rPr>
            </w:pPr>
            <w:r w:rsidRPr="00E834ED">
              <w:rPr>
                <w:rFonts w:ascii="Tahoma" w:hAnsi="Tahoma" w:cs="Tahoma"/>
                <w:sz w:val="23"/>
                <w:szCs w:val="23"/>
              </w:rPr>
              <w:t>Group 2: Occupational-entry qualifications</w:t>
            </w:r>
            <w:r w:rsidRPr="00E834ED">
              <w:rPr>
                <w:rFonts w:ascii="Tahoma" w:hAnsi="Tahoma" w:cs="Tahoma"/>
                <w:sz w:val="23"/>
                <w:szCs w:val="23"/>
              </w:rPr>
              <w:tab/>
            </w:r>
            <w:r w:rsidRPr="00E834ED">
              <w:rPr>
                <w:rFonts w:ascii="Tahoma" w:hAnsi="Tahoma" w:cs="Tahoma"/>
                <w:sz w:val="23"/>
                <w:szCs w:val="23"/>
              </w:rPr>
              <w:tab/>
            </w:r>
          </w:p>
        </w:tc>
        <w:tc>
          <w:tcPr>
            <w:tcW w:w="629" w:type="dxa"/>
          </w:tcPr>
          <w:p w14:paraId="52F7A2E8" w14:textId="77777777" w:rsidR="003F4379" w:rsidRPr="00E834ED" w:rsidRDefault="003F4379" w:rsidP="00AE256C">
            <w:pPr>
              <w:rPr>
                <w:rFonts w:ascii="Tahoma" w:hAnsi="Tahoma" w:cs="Tahoma"/>
                <w:sz w:val="23"/>
                <w:szCs w:val="23"/>
              </w:rPr>
            </w:pPr>
            <w:r w:rsidRPr="00E834ED">
              <w:rPr>
                <w:rFonts w:ascii="Tahoma" w:hAnsi="Tahoma" w:cs="Tahoma"/>
                <w:sz w:val="23"/>
                <w:szCs w:val="23"/>
              </w:rPr>
              <w:t>yes</w:t>
            </w:r>
          </w:p>
        </w:tc>
        <w:tc>
          <w:tcPr>
            <w:tcW w:w="584" w:type="dxa"/>
          </w:tcPr>
          <w:p w14:paraId="01317D25" w14:textId="77777777" w:rsidR="003F4379" w:rsidRPr="00E834ED" w:rsidRDefault="003F4379" w:rsidP="00AE256C">
            <w:pPr>
              <w:rPr>
                <w:rFonts w:ascii="Tahoma" w:hAnsi="Tahoma" w:cs="Tahoma"/>
                <w:sz w:val="23"/>
                <w:szCs w:val="23"/>
              </w:rPr>
            </w:pPr>
          </w:p>
        </w:tc>
      </w:tr>
      <w:tr w:rsidR="003F4379" w:rsidRPr="00E834ED" w14:paraId="2B49B9B5" w14:textId="77777777" w:rsidTr="00AE256C">
        <w:tc>
          <w:tcPr>
            <w:tcW w:w="6815" w:type="dxa"/>
          </w:tcPr>
          <w:p w14:paraId="61E976E3" w14:textId="77777777" w:rsidR="003F4379" w:rsidRPr="00E834ED" w:rsidRDefault="003F4379" w:rsidP="00AE256C">
            <w:pPr>
              <w:rPr>
                <w:rFonts w:ascii="Tahoma" w:hAnsi="Tahoma" w:cs="Tahoma"/>
                <w:sz w:val="23"/>
                <w:szCs w:val="23"/>
              </w:rPr>
            </w:pPr>
            <w:r w:rsidRPr="00E834ED">
              <w:rPr>
                <w:rFonts w:ascii="Tahoma" w:hAnsi="Tahoma" w:cs="Tahoma"/>
                <w:sz w:val="23"/>
                <w:szCs w:val="23"/>
              </w:rPr>
              <w:t>Group 4: Specialist qualifications</w:t>
            </w:r>
            <w:r w:rsidRPr="00E834ED">
              <w:rPr>
                <w:rFonts w:ascii="Tahoma" w:hAnsi="Tahoma" w:cs="Tahoma"/>
                <w:sz w:val="23"/>
                <w:szCs w:val="23"/>
              </w:rPr>
              <w:tab/>
            </w:r>
          </w:p>
        </w:tc>
        <w:tc>
          <w:tcPr>
            <w:tcW w:w="629" w:type="dxa"/>
          </w:tcPr>
          <w:p w14:paraId="5482D541" w14:textId="77777777" w:rsidR="003F4379" w:rsidRPr="00E834ED" w:rsidRDefault="003F4379" w:rsidP="00AE256C">
            <w:pPr>
              <w:rPr>
                <w:rFonts w:ascii="Tahoma" w:hAnsi="Tahoma" w:cs="Tahoma"/>
                <w:sz w:val="23"/>
                <w:szCs w:val="23"/>
              </w:rPr>
            </w:pPr>
            <w:r w:rsidRPr="00E834ED">
              <w:rPr>
                <w:rFonts w:ascii="Tahoma" w:hAnsi="Tahoma" w:cs="Tahoma"/>
                <w:sz w:val="23"/>
                <w:szCs w:val="23"/>
              </w:rPr>
              <w:t>yes</w:t>
            </w:r>
          </w:p>
        </w:tc>
        <w:tc>
          <w:tcPr>
            <w:tcW w:w="584" w:type="dxa"/>
          </w:tcPr>
          <w:p w14:paraId="3A3C02F1" w14:textId="77777777" w:rsidR="003F4379" w:rsidRPr="00E834ED" w:rsidRDefault="003F4379" w:rsidP="00AE256C">
            <w:pPr>
              <w:rPr>
                <w:rFonts w:ascii="Tahoma" w:hAnsi="Tahoma" w:cs="Tahoma"/>
                <w:sz w:val="23"/>
                <w:szCs w:val="23"/>
              </w:rPr>
            </w:pPr>
          </w:p>
        </w:tc>
      </w:tr>
      <w:tr w:rsidR="003F4379" w:rsidRPr="00E834ED" w14:paraId="3C1ABF4C" w14:textId="77777777" w:rsidTr="00AE256C">
        <w:tc>
          <w:tcPr>
            <w:tcW w:w="6815" w:type="dxa"/>
          </w:tcPr>
          <w:p w14:paraId="46662CA5" w14:textId="77777777" w:rsidR="003F4379" w:rsidRPr="00E834ED" w:rsidRDefault="003F4379" w:rsidP="00AE256C">
            <w:pPr>
              <w:rPr>
                <w:rFonts w:ascii="Tahoma" w:hAnsi="Tahoma" w:cs="Tahoma"/>
                <w:sz w:val="23"/>
                <w:szCs w:val="23"/>
              </w:rPr>
            </w:pPr>
            <w:r w:rsidRPr="00E834ED">
              <w:rPr>
                <w:rFonts w:ascii="Tahoma" w:hAnsi="Tahoma" w:cs="Tahoma"/>
                <w:sz w:val="23"/>
                <w:szCs w:val="23"/>
              </w:rPr>
              <w:t>Group 5: Qualifications supporting cross-sectoral skills</w:t>
            </w:r>
          </w:p>
        </w:tc>
        <w:tc>
          <w:tcPr>
            <w:tcW w:w="629" w:type="dxa"/>
          </w:tcPr>
          <w:p w14:paraId="58CB9240" w14:textId="77777777" w:rsidR="003F4379" w:rsidRPr="00E834ED" w:rsidRDefault="003F4379" w:rsidP="00AE256C">
            <w:pPr>
              <w:rPr>
                <w:rFonts w:ascii="Tahoma" w:hAnsi="Tahoma" w:cs="Tahoma"/>
                <w:sz w:val="23"/>
                <w:szCs w:val="23"/>
              </w:rPr>
            </w:pPr>
            <w:r w:rsidRPr="00E834ED">
              <w:rPr>
                <w:rFonts w:ascii="Tahoma" w:hAnsi="Tahoma" w:cs="Tahoma"/>
                <w:sz w:val="23"/>
                <w:szCs w:val="23"/>
              </w:rPr>
              <w:t>yes</w:t>
            </w:r>
          </w:p>
        </w:tc>
        <w:tc>
          <w:tcPr>
            <w:tcW w:w="584" w:type="dxa"/>
          </w:tcPr>
          <w:p w14:paraId="14B69910" w14:textId="77777777" w:rsidR="003F4379" w:rsidRPr="00E834ED" w:rsidRDefault="003F4379" w:rsidP="00AE256C">
            <w:pPr>
              <w:rPr>
                <w:rFonts w:ascii="Tahoma" w:hAnsi="Tahoma" w:cs="Tahoma"/>
                <w:sz w:val="23"/>
                <w:szCs w:val="23"/>
              </w:rPr>
            </w:pPr>
          </w:p>
        </w:tc>
      </w:tr>
      <w:tr w:rsidR="003F4379" w:rsidRPr="00E834ED" w14:paraId="2D1B57F3" w14:textId="77777777" w:rsidTr="00AE256C">
        <w:tc>
          <w:tcPr>
            <w:tcW w:w="6815" w:type="dxa"/>
          </w:tcPr>
          <w:p w14:paraId="6929A132" w14:textId="77777777" w:rsidR="003F4379" w:rsidRPr="00E834ED" w:rsidRDefault="003F4379" w:rsidP="00AE256C">
            <w:pPr>
              <w:rPr>
                <w:rFonts w:ascii="Tahoma" w:hAnsi="Tahoma" w:cs="Tahoma"/>
                <w:sz w:val="23"/>
                <w:szCs w:val="23"/>
              </w:rPr>
            </w:pPr>
            <w:r w:rsidRPr="00E834ED">
              <w:rPr>
                <w:rFonts w:ascii="Tahoma" w:hAnsi="Tahoma" w:cs="Tahoma"/>
                <w:sz w:val="23"/>
                <w:szCs w:val="23"/>
              </w:rPr>
              <w:lastRenderedPageBreak/>
              <w:t>Group 7: Qualifications supporting progression to level 3 academic study</w:t>
            </w:r>
          </w:p>
        </w:tc>
        <w:tc>
          <w:tcPr>
            <w:tcW w:w="629" w:type="dxa"/>
          </w:tcPr>
          <w:p w14:paraId="7D19EC27" w14:textId="77777777" w:rsidR="003F4379" w:rsidRPr="00E834ED" w:rsidRDefault="003F4379" w:rsidP="00AE256C">
            <w:pPr>
              <w:rPr>
                <w:rFonts w:ascii="Tahoma" w:hAnsi="Tahoma" w:cs="Tahoma"/>
                <w:sz w:val="23"/>
                <w:szCs w:val="23"/>
              </w:rPr>
            </w:pPr>
            <w:r w:rsidRPr="00E834ED">
              <w:rPr>
                <w:rFonts w:ascii="Tahoma" w:hAnsi="Tahoma" w:cs="Tahoma"/>
                <w:sz w:val="23"/>
                <w:szCs w:val="23"/>
              </w:rPr>
              <w:t>yes</w:t>
            </w:r>
          </w:p>
        </w:tc>
        <w:tc>
          <w:tcPr>
            <w:tcW w:w="584" w:type="dxa"/>
          </w:tcPr>
          <w:p w14:paraId="66859112" w14:textId="77777777" w:rsidR="003F4379" w:rsidRPr="00E834ED" w:rsidRDefault="003F4379" w:rsidP="00AE256C">
            <w:pPr>
              <w:rPr>
                <w:rFonts w:ascii="Tahoma" w:hAnsi="Tahoma" w:cs="Tahoma"/>
                <w:sz w:val="23"/>
                <w:szCs w:val="23"/>
              </w:rPr>
            </w:pPr>
          </w:p>
        </w:tc>
      </w:tr>
    </w:tbl>
    <w:p w14:paraId="0D09DB26" w14:textId="77777777" w:rsidR="003F4379" w:rsidRPr="00E834ED" w:rsidRDefault="003F4379" w:rsidP="003F4379">
      <w:pPr>
        <w:rPr>
          <w:rFonts w:ascii="Tahoma" w:hAnsi="Tahoma" w:cs="Tahoma"/>
          <w:sz w:val="23"/>
          <w:szCs w:val="23"/>
        </w:rPr>
      </w:pPr>
    </w:p>
    <w:p w14:paraId="4E28FA6D" w14:textId="77777777" w:rsidR="003F4379" w:rsidRPr="00F17883" w:rsidRDefault="003F4379" w:rsidP="003F4379">
      <w:pPr>
        <w:rPr>
          <w:rFonts w:ascii="Tahoma" w:hAnsi="Tahoma" w:cs="Tahoma"/>
          <w:i/>
          <w:iCs/>
          <w:sz w:val="23"/>
          <w:szCs w:val="23"/>
        </w:rPr>
      </w:pPr>
      <w:r w:rsidRPr="00F17883">
        <w:rPr>
          <w:rFonts w:ascii="Tahoma" w:hAnsi="Tahoma" w:cs="Tahoma"/>
          <w:i/>
          <w:iCs/>
          <w:sz w:val="23"/>
          <w:szCs w:val="23"/>
        </w:rPr>
        <w:t>Please give reasons for your answers</w:t>
      </w:r>
    </w:p>
    <w:p w14:paraId="151BF53A" w14:textId="6ADAFF21" w:rsidR="003F4379" w:rsidRPr="00E834ED" w:rsidRDefault="003F4379" w:rsidP="003F4379">
      <w:pPr>
        <w:rPr>
          <w:rFonts w:ascii="Tahoma" w:hAnsi="Tahoma" w:cs="Tahoma"/>
          <w:sz w:val="23"/>
          <w:szCs w:val="23"/>
        </w:rPr>
      </w:pPr>
      <w:r w:rsidRPr="00E834ED">
        <w:rPr>
          <w:rFonts w:ascii="Tahoma" w:hAnsi="Tahoma" w:cs="Tahoma"/>
          <w:sz w:val="23"/>
          <w:szCs w:val="23"/>
        </w:rPr>
        <w:t xml:space="preserve">Adult learners are a diverse </w:t>
      </w:r>
      <w:proofErr w:type="gramStart"/>
      <w:r w:rsidRPr="00E834ED">
        <w:rPr>
          <w:rFonts w:ascii="Tahoma" w:hAnsi="Tahoma" w:cs="Tahoma"/>
          <w:sz w:val="23"/>
          <w:szCs w:val="23"/>
        </w:rPr>
        <w:t>audience</w:t>
      </w:r>
      <w:proofErr w:type="gramEnd"/>
      <w:r w:rsidRPr="00E834ED">
        <w:rPr>
          <w:rFonts w:ascii="Tahoma" w:hAnsi="Tahoma" w:cs="Tahoma"/>
          <w:sz w:val="23"/>
          <w:szCs w:val="23"/>
        </w:rPr>
        <w:t xml:space="preserve"> and many are career changers or employees who come to learning later in life after working in a role for some time.  They need a range of options to choose from that suit their needs.  </w:t>
      </w:r>
    </w:p>
    <w:p w14:paraId="109CACAE" w14:textId="712B57E8" w:rsidR="00DD48B9" w:rsidRPr="00E834ED" w:rsidRDefault="003A20E7" w:rsidP="000365FE">
      <w:pPr>
        <w:pStyle w:val="Heading1"/>
      </w:pPr>
      <w:bookmarkStart w:id="12" w:name="_Toc99562955"/>
      <w:r w:rsidRPr="00E834ED">
        <w:t>Group 3: Occupational-focus qualifications for adults</w:t>
      </w:r>
      <w:bookmarkEnd w:id="12"/>
    </w:p>
    <w:p w14:paraId="6BA96552" w14:textId="530F2F16" w:rsidR="00F6266E" w:rsidRPr="00E834ED" w:rsidRDefault="003F4379"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L</w:t>
      </w:r>
      <w:r w:rsidR="00F6266E" w:rsidRPr="00E834ED">
        <w:rPr>
          <w:rFonts w:ascii="Tahoma" w:hAnsi="Tahoma" w:cs="Tahoma"/>
          <w:sz w:val="23"/>
          <w:szCs w:val="23"/>
        </w:rPr>
        <w:t xml:space="preserve">evel </w:t>
      </w:r>
      <w:r w:rsidRPr="00E834ED">
        <w:rPr>
          <w:rFonts w:ascii="Tahoma" w:hAnsi="Tahoma" w:cs="Tahoma"/>
          <w:sz w:val="23"/>
          <w:szCs w:val="23"/>
        </w:rPr>
        <w:t xml:space="preserve">2 qualifications </w:t>
      </w:r>
      <w:r w:rsidR="00F6266E" w:rsidRPr="00E834ED">
        <w:rPr>
          <w:rFonts w:ascii="Tahoma" w:hAnsi="Tahoma" w:cs="Tahoma"/>
          <w:sz w:val="23"/>
          <w:szCs w:val="23"/>
        </w:rPr>
        <w:t xml:space="preserve">2 </w:t>
      </w:r>
      <w:r w:rsidRPr="00E834ED">
        <w:rPr>
          <w:rFonts w:ascii="Tahoma" w:hAnsi="Tahoma" w:cs="Tahoma"/>
          <w:sz w:val="23"/>
          <w:szCs w:val="23"/>
        </w:rPr>
        <w:t xml:space="preserve">to </w:t>
      </w:r>
      <w:r w:rsidR="00F6266E" w:rsidRPr="00E834ED">
        <w:rPr>
          <w:rFonts w:ascii="Tahoma" w:hAnsi="Tahoma" w:cs="Tahoma"/>
          <w:sz w:val="23"/>
          <w:szCs w:val="23"/>
        </w:rPr>
        <w:t xml:space="preserve">provide adults with entry into a particular occupation and will not need to be delivered as part of a study programme. They will be smaller than the substantial entry-level competence qualifications in group 2, as they will have less focus on route-wide content and transferable skills, and therefore will be a more accessible option for adults. We ask, on page 42, question 8, whether these qualifications should also be available to </w:t>
      </w:r>
      <w:proofErr w:type="gramStart"/>
      <w:r w:rsidR="00F6266E" w:rsidRPr="00E834ED">
        <w:rPr>
          <w:rFonts w:ascii="Tahoma" w:hAnsi="Tahoma" w:cs="Tahoma"/>
          <w:sz w:val="23"/>
          <w:szCs w:val="23"/>
        </w:rPr>
        <w:t>16 to 19 year olds</w:t>
      </w:r>
      <w:proofErr w:type="gramEnd"/>
      <w:r w:rsidR="00F6266E" w:rsidRPr="00E834ED">
        <w:rPr>
          <w:rFonts w:ascii="Tahoma" w:hAnsi="Tahoma" w:cs="Tahoma"/>
          <w:sz w:val="23"/>
          <w:szCs w:val="23"/>
        </w:rPr>
        <w:t xml:space="preserve"> in certain circumstances.</w:t>
      </w:r>
    </w:p>
    <w:p w14:paraId="5CA0E363" w14:textId="77777777" w:rsidR="00F6266E" w:rsidRPr="00E834ED" w:rsidRDefault="00F6266E"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To be in scope for funding these qualifications must:</w:t>
      </w:r>
    </w:p>
    <w:p w14:paraId="23403CAF" w14:textId="77777777" w:rsidR="00F6266E" w:rsidRPr="00E834ED" w:rsidRDefault="00F6266E"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focused on providing technical content which is aligned to an employer-led occupational standard and provides entry into a level 2 occupation, with only a small proportion of the qualification dedicated to route-wide content.</w:t>
      </w:r>
    </w:p>
    <w:p w14:paraId="7264D8BE" w14:textId="77777777" w:rsidR="00F6266E" w:rsidRPr="00E834ED" w:rsidRDefault="00F6266E"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of medium size, smaller than the group 2 occupational-entry level 2 qualifications.</w:t>
      </w:r>
    </w:p>
    <w:p w14:paraId="21DBE2B1" w14:textId="77777777" w:rsidR="00F6266E" w:rsidRPr="00E834ED" w:rsidRDefault="00F6266E"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 Be available to adults only. (Subject to question 8 on page 42)</w:t>
      </w:r>
    </w:p>
    <w:p w14:paraId="0B9468E9" w14:textId="77777777" w:rsidR="00F6266E" w:rsidRPr="00E834ED" w:rsidRDefault="00F6266E"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Example:</w:t>
      </w:r>
    </w:p>
    <w:p w14:paraId="62DAD136" w14:textId="6B399252" w:rsidR="003A20E7" w:rsidRPr="00E834ED" w:rsidRDefault="00F6266E" w:rsidP="003F4379">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E834ED">
        <w:rPr>
          <w:rFonts w:ascii="Tahoma" w:hAnsi="Tahoma" w:cs="Tahoma"/>
          <w:sz w:val="23"/>
          <w:szCs w:val="23"/>
        </w:rPr>
        <w:t>A medium sized qualification in hair and beauty providing the occupationally specific</w:t>
      </w:r>
      <w:r w:rsidR="00E834ED" w:rsidRPr="00E834ED">
        <w:rPr>
          <w:rFonts w:ascii="Tahoma" w:hAnsi="Tahoma" w:cs="Tahoma"/>
          <w:sz w:val="23"/>
          <w:szCs w:val="23"/>
        </w:rPr>
        <w:t xml:space="preserve"> </w:t>
      </w:r>
      <w:r w:rsidRPr="00E834ED">
        <w:rPr>
          <w:rFonts w:ascii="Tahoma" w:hAnsi="Tahoma" w:cs="Tahoma"/>
          <w:sz w:val="23"/>
          <w:szCs w:val="23"/>
        </w:rPr>
        <w:t>technical knowledge, skills and behaviours required to become a nail technician (aligned</w:t>
      </w:r>
      <w:r w:rsidR="00E834ED" w:rsidRPr="00E834ED">
        <w:rPr>
          <w:rFonts w:ascii="Tahoma" w:hAnsi="Tahoma" w:cs="Tahoma"/>
          <w:sz w:val="23"/>
          <w:szCs w:val="23"/>
        </w:rPr>
        <w:t xml:space="preserve"> </w:t>
      </w:r>
      <w:r w:rsidRPr="00E834ED">
        <w:rPr>
          <w:rFonts w:ascii="Tahoma" w:hAnsi="Tahoma" w:cs="Tahoma"/>
          <w:sz w:val="23"/>
          <w:szCs w:val="23"/>
        </w:rPr>
        <w:t>with the ‘nail services technician’ standard).</w:t>
      </w:r>
    </w:p>
    <w:p w14:paraId="4E36D74C" w14:textId="77777777" w:rsidR="00DD48B9" w:rsidRPr="00E834ED" w:rsidRDefault="00DD48B9" w:rsidP="00F92F08">
      <w:pPr>
        <w:rPr>
          <w:rFonts w:ascii="Tahoma" w:hAnsi="Tahoma" w:cs="Tahoma"/>
          <w:b/>
          <w:bCs/>
          <w:sz w:val="23"/>
          <w:szCs w:val="23"/>
        </w:rPr>
      </w:pPr>
    </w:p>
    <w:p w14:paraId="276DADCD" w14:textId="77777777" w:rsidR="003A1CDB" w:rsidRPr="00F17883" w:rsidRDefault="003A1CDB" w:rsidP="003A1CDB">
      <w:pPr>
        <w:rPr>
          <w:rFonts w:ascii="Tahoma" w:hAnsi="Tahoma" w:cs="Tahoma"/>
          <w:i/>
          <w:iCs/>
          <w:sz w:val="23"/>
          <w:szCs w:val="23"/>
        </w:rPr>
      </w:pPr>
      <w:r w:rsidRPr="00F17883">
        <w:rPr>
          <w:rFonts w:ascii="Tahoma" w:hAnsi="Tahoma" w:cs="Tahoma"/>
          <w:i/>
          <w:iCs/>
          <w:sz w:val="23"/>
          <w:szCs w:val="23"/>
        </w:rPr>
        <w:t>21. Do you agree that we should fund occupational-focus qualifications at level 2 for adults?</w:t>
      </w:r>
    </w:p>
    <w:p w14:paraId="35B14912" w14:textId="77777777" w:rsidR="003A1CDB" w:rsidRPr="00E834ED" w:rsidRDefault="003A1CDB" w:rsidP="003A1CDB">
      <w:pPr>
        <w:rPr>
          <w:rFonts w:ascii="Tahoma" w:hAnsi="Tahoma" w:cs="Tahoma"/>
          <w:sz w:val="23"/>
          <w:szCs w:val="23"/>
        </w:rPr>
      </w:pPr>
      <w:r w:rsidRPr="00E834ED">
        <w:rPr>
          <w:rFonts w:ascii="Tahoma" w:hAnsi="Tahoma" w:cs="Tahoma"/>
          <w:sz w:val="23"/>
          <w:szCs w:val="23"/>
        </w:rPr>
        <w:t xml:space="preserve"> Yes</w:t>
      </w:r>
    </w:p>
    <w:p w14:paraId="3F58D6A7" w14:textId="77777777" w:rsidR="003A1CDB" w:rsidRPr="00F17883" w:rsidRDefault="003A1CDB" w:rsidP="003A1CDB">
      <w:pPr>
        <w:rPr>
          <w:rFonts w:ascii="Tahoma" w:hAnsi="Tahoma" w:cs="Tahoma"/>
          <w:i/>
          <w:iCs/>
          <w:sz w:val="23"/>
          <w:szCs w:val="23"/>
        </w:rPr>
      </w:pPr>
      <w:r w:rsidRPr="00F17883">
        <w:rPr>
          <w:rFonts w:ascii="Tahoma" w:hAnsi="Tahoma" w:cs="Tahoma"/>
          <w:i/>
          <w:iCs/>
          <w:sz w:val="23"/>
          <w:szCs w:val="23"/>
        </w:rPr>
        <w:t>Do you agree that these qualifications should be medium sized, with a guideline size of 200-540 GLH?</w:t>
      </w:r>
    </w:p>
    <w:p w14:paraId="1539A362" w14:textId="0624C1EB" w:rsidR="003A1CDB" w:rsidRPr="00E834ED" w:rsidRDefault="003A1CDB" w:rsidP="003A1CDB">
      <w:pPr>
        <w:rPr>
          <w:rFonts w:ascii="Tahoma" w:hAnsi="Tahoma" w:cs="Tahoma"/>
          <w:sz w:val="23"/>
          <w:szCs w:val="23"/>
        </w:rPr>
      </w:pPr>
      <w:r w:rsidRPr="00E834ED">
        <w:rPr>
          <w:rFonts w:ascii="Tahoma" w:hAnsi="Tahoma" w:cs="Tahoma"/>
          <w:sz w:val="23"/>
          <w:szCs w:val="23"/>
        </w:rPr>
        <w:t xml:space="preserve"> </w:t>
      </w:r>
      <w:r w:rsidR="00394886">
        <w:rPr>
          <w:rFonts w:ascii="Tahoma" w:hAnsi="Tahoma" w:cs="Tahoma"/>
          <w:sz w:val="23"/>
          <w:szCs w:val="23"/>
        </w:rPr>
        <w:t>No</w:t>
      </w:r>
    </w:p>
    <w:p w14:paraId="59176E4F" w14:textId="62FEEA9E" w:rsidR="003A1CDB" w:rsidRPr="00F17883" w:rsidRDefault="003A1CDB" w:rsidP="003A1CDB">
      <w:pPr>
        <w:rPr>
          <w:rFonts w:ascii="Tahoma" w:hAnsi="Tahoma" w:cs="Tahoma"/>
          <w:i/>
          <w:iCs/>
          <w:sz w:val="23"/>
          <w:szCs w:val="23"/>
        </w:rPr>
      </w:pPr>
      <w:r w:rsidRPr="00F17883">
        <w:rPr>
          <w:rFonts w:ascii="Tahoma" w:hAnsi="Tahoma" w:cs="Tahoma"/>
          <w:i/>
          <w:iCs/>
          <w:sz w:val="23"/>
          <w:szCs w:val="23"/>
        </w:rPr>
        <w:t>Please give reasons for your answers</w:t>
      </w:r>
    </w:p>
    <w:p w14:paraId="687B8D22" w14:textId="6B2B66FE" w:rsidR="00F17883" w:rsidRDefault="00F12F2D" w:rsidP="003A1CDB">
      <w:pPr>
        <w:rPr>
          <w:rFonts w:ascii="Tahoma" w:hAnsi="Tahoma" w:cs="Tahoma"/>
          <w:sz w:val="23"/>
          <w:szCs w:val="23"/>
        </w:rPr>
      </w:pPr>
      <w:r>
        <w:rPr>
          <w:rFonts w:ascii="Tahoma" w:hAnsi="Tahoma" w:cs="Tahoma"/>
          <w:sz w:val="23"/>
          <w:szCs w:val="23"/>
        </w:rPr>
        <w:t>Qualifications should have the flexibility to specialise further than the apprenticeships.  For example, t</w:t>
      </w:r>
      <w:r w:rsidR="00F17883" w:rsidRPr="00F17883">
        <w:rPr>
          <w:rFonts w:ascii="Tahoma" w:hAnsi="Tahoma" w:cs="Tahoma"/>
          <w:sz w:val="23"/>
          <w:szCs w:val="23"/>
        </w:rPr>
        <w:t xml:space="preserve">he occupational standards for horticulture are very broad and have been designed to introduce learners to a whole sector </w:t>
      </w:r>
      <w:r w:rsidR="00F17883">
        <w:rPr>
          <w:rFonts w:ascii="Tahoma" w:hAnsi="Tahoma" w:cs="Tahoma"/>
          <w:sz w:val="23"/>
          <w:szCs w:val="23"/>
        </w:rPr>
        <w:t>giving them core transferrable skills</w:t>
      </w:r>
      <w:r>
        <w:rPr>
          <w:rFonts w:ascii="Tahoma" w:hAnsi="Tahoma" w:cs="Tahoma"/>
          <w:sz w:val="23"/>
          <w:szCs w:val="23"/>
        </w:rPr>
        <w:t xml:space="preserve">. </w:t>
      </w:r>
      <w:r w:rsidR="00F17883">
        <w:rPr>
          <w:rFonts w:ascii="Tahoma" w:hAnsi="Tahoma" w:cs="Tahoma"/>
          <w:sz w:val="23"/>
          <w:szCs w:val="23"/>
        </w:rPr>
        <w:t xml:space="preserve"> </w:t>
      </w:r>
      <w:r>
        <w:rPr>
          <w:rFonts w:ascii="Tahoma" w:hAnsi="Tahoma" w:cs="Tahoma"/>
          <w:sz w:val="23"/>
          <w:szCs w:val="23"/>
        </w:rPr>
        <w:t>L</w:t>
      </w:r>
      <w:r w:rsidR="00F17883" w:rsidRPr="00F17883">
        <w:rPr>
          <w:rFonts w:ascii="Tahoma" w:hAnsi="Tahoma" w:cs="Tahoma"/>
          <w:sz w:val="23"/>
          <w:szCs w:val="23"/>
        </w:rPr>
        <w:t>earners will ‘specialise’ into a part of the sector (for example maintenance gardening; public, botanical and heritage gardening; landscaping) by choosing which employer they work with alongside delivery of the standard. Adult learners</w:t>
      </w:r>
      <w:r w:rsidR="00F17883">
        <w:rPr>
          <w:rFonts w:ascii="Tahoma" w:hAnsi="Tahoma" w:cs="Tahoma"/>
          <w:sz w:val="23"/>
          <w:szCs w:val="23"/>
        </w:rPr>
        <w:t xml:space="preserve"> (for example career changers)</w:t>
      </w:r>
      <w:r w:rsidR="00F17883" w:rsidRPr="00F17883">
        <w:rPr>
          <w:rFonts w:ascii="Tahoma" w:hAnsi="Tahoma" w:cs="Tahoma"/>
          <w:sz w:val="23"/>
          <w:szCs w:val="23"/>
        </w:rPr>
        <w:t xml:space="preserve"> usually have more understanding of the </w:t>
      </w:r>
      <w:r w:rsidR="007245DF">
        <w:rPr>
          <w:rFonts w:ascii="Tahoma" w:hAnsi="Tahoma" w:cs="Tahoma"/>
          <w:sz w:val="23"/>
          <w:szCs w:val="23"/>
        </w:rPr>
        <w:t>sub-</w:t>
      </w:r>
      <w:r w:rsidR="00F17883" w:rsidRPr="00F17883">
        <w:rPr>
          <w:rFonts w:ascii="Tahoma" w:hAnsi="Tahoma" w:cs="Tahoma"/>
          <w:sz w:val="23"/>
          <w:szCs w:val="23"/>
        </w:rPr>
        <w:t>sector they wish to specialise in, and so provision should be provided for standards to be rationalised to a specific area of the sector.</w:t>
      </w:r>
    </w:p>
    <w:p w14:paraId="2C86D636" w14:textId="6D54FC30" w:rsidR="00FB2DD4" w:rsidRPr="00E834ED" w:rsidRDefault="00F12F2D" w:rsidP="003A1CDB">
      <w:pPr>
        <w:rPr>
          <w:rFonts w:ascii="Tahoma" w:hAnsi="Tahoma" w:cs="Tahoma"/>
          <w:sz w:val="23"/>
          <w:szCs w:val="23"/>
        </w:rPr>
      </w:pPr>
      <w:r>
        <w:rPr>
          <w:rFonts w:ascii="Tahoma" w:hAnsi="Tahoma" w:cs="Tahoma"/>
          <w:sz w:val="23"/>
          <w:szCs w:val="23"/>
        </w:rPr>
        <w:lastRenderedPageBreak/>
        <w:t>This is still a large qualification size.  Many career changers will do several qualifications while working at 90 to 200 credit lengths</w:t>
      </w:r>
      <w:r w:rsidR="008D05A9">
        <w:rPr>
          <w:rFonts w:ascii="Tahoma" w:hAnsi="Tahoma" w:cs="Tahoma"/>
          <w:sz w:val="23"/>
          <w:szCs w:val="23"/>
        </w:rPr>
        <w:t>,</w:t>
      </w:r>
      <w:r>
        <w:rPr>
          <w:rFonts w:ascii="Tahoma" w:hAnsi="Tahoma" w:cs="Tahoma"/>
          <w:sz w:val="23"/>
          <w:szCs w:val="23"/>
        </w:rPr>
        <w:t xml:space="preserve"> building up to the equivalent of a larger qualification</w:t>
      </w:r>
      <w:r w:rsidR="008D05A9">
        <w:rPr>
          <w:rFonts w:ascii="Tahoma" w:hAnsi="Tahoma" w:cs="Tahoma"/>
          <w:sz w:val="23"/>
          <w:szCs w:val="23"/>
        </w:rPr>
        <w:t xml:space="preserve"> on weekends or evenings</w:t>
      </w:r>
      <w:r>
        <w:rPr>
          <w:rFonts w:ascii="Tahoma" w:hAnsi="Tahoma" w:cs="Tahoma"/>
          <w:sz w:val="23"/>
          <w:szCs w:val="23"/>
        </w:rPr>
        <w:t xml:space="preserve">.  </w:t>
      </w:r>
      <w:r w:rsidR="007245DF">
        <w:rPr>
          <w:rFonts w:ascii="Tahoma" w:hAnsi="Tahoma" w:cs="Tahoma"/>
          <w:sz w:val="23"/>
          <w:szCs w:val="23"/>
        </w:rPr>
        <w:t>It</w:t>
      </w:r>
      <w:r w:rsidR="00FB2DD4">
        <w:rPr>
          <w:rFonts w:ascii="Tahoma" w:hAnsi="Tahoma" w:cs="Tahoma"/>
          <w:sz w:val="23"/>
          <w:szCs w:val="23"/>
        </w:rPr>
        <w:t xml:space="preserve"> should be possible </w:t>
      </w:r>
      <w:r w:rsidR="007245DF">
        <w:rPr>
          <w:rFonts w:ascii="Tahoma" w:hAnsi="Tahoma" w:cs="Tahoma"/>
          <w:sz w:val="23"/>
          <w:szCs w:val="23"/>
        </w:rPr>
        <w:t xml:space="preserve">for learners to commit to smaller amounts of learning </w:t>
      </w:r>
      <w:r w:rsidR="00FB2DD4">
        <w:rPr>
          <w:rFonts w:ascii="Tahoma" w:hAnsi="Tahoma" w:cs="Tahoma"/>
          <w:sz w:val="23"/>
          <w:szCs w:val="23"/>
        </w:rPr>
        <w:t xml:space="preserve">as this is still a daunting amount for some. This does not work if an end point assessment model is used.  </w:t>
      </w:r>
    </w:p>
    <w:p w14:paraId="23373343" w14:textId="77777777" w:rsidR="00FB2DD4" w:rsidRDefault="00FB2DD4" w:rsidP="00115A6F">
      <w:pPr>
        <w:rPr>
          <w:rFonts w:ascii="Tahoma" w:hAnsi="Tahoma" w:cs="Tahoma"/>
          <w:b/>
          <w:bCs/>
          <w:sz w:val="23"/>
          <w:szCs w:val="23"/>
        </w:rPr>
      </w:pPr>
    </w:p>
    <w:p w14:paraId="3E6091DA" w14:textId="6523A328" w:rsidR="00115A6F" w:rsidRDefault="00115A6F" w:rsidP="000365FE">
      <w:pPr>
        <w:pStyle w:val="Heading1"/>
      </w:pPr>
      <w:bookmarkStart w:id="13" w:name="_Toc99562956"/>
      <w:r w:rsidRPr="00E834ED">
        <w:t>Group 6: Technical qualifications enabling entry into occupations without employer-led occupational standards</w:t>
      </w:r>
      <w:bookmarkEnd w:id="13"/>
    </w:p>
    <w:p w14:paraId="258E6E2D" w14:textId="77777777" w:rsidR="00FB2DD4" w:rsidRPr="00FB2DD4" w:rsidRDefault="00FB2DD4" w:rsidP="00FB2DD4">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FB2DD4">
        <w:rPr>
          <w:rFonts w:ascii="Tahoma" w:hAnsi="Tahoma" w:cs="Tahoma"/>
          <w:sz w:val="23"/>
          <w:szCs w:val="23"/>
        </w:rPr>
        <w:t>To be in scope for funding these qualifications must:</w:t>
      </w:r>
    </w:p>
    <w:p w14:paraId="64257994" w14:textId="77777777" w:rsidR="00FB2DD4" w:rsidRPr="00FB2DD4" w:rsidRDefault="00FB2DD4" w:rsidP="00FB2DD4">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FB2DD4">
        <w:rPr>
          <w:rFonts w:ascii="Tahoma" w:hAnsi="Tahoma" w:cs="Tahoma"/>
          <w:sz w:val="23"/>
          <w:szCs w:val="23"/>
        </w:rPr>
        <w:t>• Support progression into sustainable level 2 occupations where an employer-led occupational standard does not exist</w:t>
      </w:r>
    </w:p>
    <w:p w14:paraId="0CB61CAD" w14:textId="77777777" w:rsidR="00FB2DD4" w:rsidRPr="00FB2DD4" w:rsidRDefault="00FB2DD4" w:rsidP="00FB2DD4">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FB2DD4">
        <w:rPr>
          <w:rFonts w:ascii="Tahoma" w:hAnsi="Tahoma" w:cs="Tahoma"/>
          <w:sz w:val="23"/>
          <w:szCs w:val="23"/>
        </w:rPr>
        <w:t>• Be available to adults only</w:t>
      </w:r>
    </w:p>
    <w:p w14:paraId="4176E0A1" w14:textId="77777777" w:rsidR="00FB2DD4" w:rsidRPr="00FB2DD4" w:rsidRDefault="00FB2DD4" w:rsidP="00FB2DD4">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FB2DD4">
        <w:rPr>
          <w:rFonts w:ascii="Tahoma" w:hAnsi="Tahoma" w:cs="Tahoma"/>
          <w:sz w:val="23"/>
          <w:szCs w:val="23"/>
        </w:rPr>
        <w:t>Example:</w:t>
      </w:r>
    </w:p>
    <w:p w14:paraId="53636716" w14:textId="5EAA8075" w:rsidR="00FB2DD4" w:rsidRDefault="00FB2DD4" w:rsidP="00FB2DD4">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sidRPr="00FB2DD4">
        <w:rPr>
          <w:rFonts w:ascii="Tahoma" w:hAnsi="Tahoma" w:cs="Tahoma"/>
          <w:sz w:val="23"/>
          <w:szCs w:val="23"/>
        </w:rPr>
        <w:t xml:space="preserve">A qualification providing the technical knowledge, </w:t>
      </w:r>
      <w:proofErr w:type="gramStart"/>
      <w:r w:rsidRPr="00FB2DD4">
        <w:rPr>
          <w:rFonts w:ascii="Tahoma" w:hAnsi="Tahoma" w:cs="Tahoma"/>
          <w:sz w:val="23"/>
          <w:szCs w:val="23"/>
        </w:rPr>
        <w:t>skills</w:t>
      </w:r>
      <w:proofErr w:type="gramEnd"/>
      <w:r w:rsidRPr="00FB2DD4">
        <w:rPr>
          <w:rFonts w:ascii="Tahoma" w:hAnsi="Tahoma" w:cs="Tahoma"/>
          <w:sz w:val="23"/>
          <w:szCs w:val="23"/>
        </w:rPr>
        <w:t xml:space="preserve"> and behaviours necessary to</w:t>
      </w:r>
      <w:r>
        <w:rPr>
          <w:rFonts w:ascii="Tahoma" w:hAnsi="Tahoma" w:cs="Tahoma"/>
          <w:sz w:val="23"/>
          <w:szCs w:val="23"/>
        </w:rPr>
        <w:t xml:space="preserve"> </w:t>
      </w:r>
      <w:r w:rsidRPr="00FB2DD4">
        <w:rPr>
          <w:rFonts w:ascii="Tahoma" w:hAnsi="Tahoma" w:cs="Tahoma"/>
          <w:sz w:val="23"/>
          <w:szCs w:val="23"/>
        </w:rPr>
        <w:t>become a hospital porter.</w:t>
      </w:r>
    </w:p>
    <w:p w14:paraId="3014B65E" w14:textId="27768B97" w:rsidR="00115A6F" w:rsidRPr="00FB2DD4" w:rsidRDefault="00115A6F" w:rsidP="00115A6F">
      <w:pPr>
        <w:rPr>
          <w:rFonts w:ascii="Tahoma" w:hAnsi="Tahoma" w:cs="Tahoma"/>
          <w:i/>
          <w:iCs/>
          <w:sz w:val="23"/>
          <w:szCs w:val="23"/>
        </w:rPr>
      </w:pPr>
      <w:r w:rsidRPr="00FB2DD4">
        <w:rPr>
          <w:rFonts w:ascii="Tahoma" w:hAnsi="Tahoma" w:cs="Tahoma"/>
          <w:i/>
          <w:iCs/>
          <w:sz w:val="23"/>
          <w:szCs w:val="23"/>
        </w:rPr>
        <w:t>22. Do you agree that we should consider requests to fund level 2 qualifications for occupations for which an employer-led occupational standard does not currently exist?</w:t>
      </w:r>
    </w:p>
    <w:p w14:paraId="25A4EE25" w14:textId="77777777" w:rsidR="00115A6F" w:rsidRPr="00E834ED" w:rsidRDefault="00115A6F" w:rsidP="00115A6F">
      <w:pPr>
        <w:rPr>
          <w:rFonts w:ascii="Tahoma" w:hAnsi="Tahoma" w:cs="Tahoma"/>
          <w:sz w:val="23"/>
          <w:szCs w:val="23"/>
        </w:rPr>
      </w:pPr>
      <w:r w:rsidRPr="00E834ED">
        <w:rPr>
          <w:rFonts w:ascii="Tahoma" w:hAnsi="Tahoma" w:cs="Tahoma"/>
          <w:sz w:val="23"/>
          <w:szCs w:val="23"/>
        </w:rPr>
        <w:t xml:space="preserve"> Yes</w:t>
      </w:r>
    </w:p>
    <w:p w14:paraId="0D9D85FD" w14:textId="17B6633D" w:rsidR="00115A6F" w:rsidRDefault="00115A6F" w:rsidP="00115A6F">
      <w:pPr>
        <w:rPr>
          <w:rFonts w:ascii="Tahoma" w:hAnsi="Tahoma" w:cs="Tahoma"/>
          <w:i/>
          <w:iCs/>
          <w:sz w:val="23"/>
          <w:szCs w:val="23"/>
        </w:rPr>
      </w:pPr>
      <w:r w:rsidRPr="00FB2DD4">
        <w:rPr>
          <w:rFonts w:ascii="Tahoma" w:hAnsi="Tahoma" w:cs="Tahoma"/>
          <w:i/>
          <w:iCs/>
          <w:sz w:val="23"/>
          <w:szCs w:val="23"/>
        </w:rPr>
        <w:t>Please give reasons for your answer</w:t>
      </w:r>
    </w:p>
    <w:p w14:paraId="03A2A453" w14:textId="19C952D6" w:rsidR="00A33392" w:rsidRDefault="00A33392" w:rsidP="008779F8">
      <w:pPr>
        <w:rPr>
          <w:rFonts w:ascii="Tahoma" w:hAnsi="Tahoma" w:cs="Tahoma"/>
          <w:sz w:val="23"/>
          <w:szCs w:val="23"/>
        </w:rPr>
      </w:pPr>
      <w:r>
        <w:rPr>
          <w:rFonts w:ascii="Tahoma" w:hAnsi="Tahoma" w:cs="Tahoma"/>
          <w:sz w:val="23"/>
          <w:szCs w:val="23"/>
        </w:rPr>
        <w:t xml:space="preserve">The occupational map was designed for apprenticeships, not </w:t>
      </w:r>
      <w:r w:rsidR="00340336">
        <w:rPr>
          <w:rFonts w:ascii="Tahoma" w:hAnsi="Tahoma" w:cs="Tahoma"/>
          <w:sz w:val="23"/>
          <w:szCs w:val="23"/>
        </w:rPr>
        <w:t>college-based</w:t>
      </w:r>
      <w:r>
        <w:rPr>
          <w:rFonts w:ascii="Tahoma" w:hAnsi="Tahoma" w:cs="Tahoma"/>
          <w:sz w:val="23"/>
          <w:szCs w:val="23"/>
        </w:rPr>
        <w:t xml:space="preserve"> qualifications.  T</w:t>
      </w:r>
      <w:r w:rsidR="00C07B37">
        <w:rPr>
          <w:rFonts w:ascii="Tahoma" w:hAnsi="Tahoma" w:cs="Tahoma"/>
          <w:sz w:val="23"/>
          <w:szCs w:val="23"/>
        </w:rPr>
        <w:t xml:space="preserve">he </w:t>
      </w:r>
      <w:r>
        <w:rPr>
          <w:rFonts w:ascii="Tahoma" w:hAnsi="Tahoma" w:cs="Tahoma"/>
          <w:sz w:val="23"/>
          <w:szCs w:val="23"/>
        </w:rPr>
        <w:t xml:space="preserve">map </w:t>
      </w:r>
      <w:r w:rsidR="00C07B37">
        <w:rPr>
          <w:rFonts w:ascii="Tahoma" w:hAnsi="Tahoma" w:cs="Tahoma"/>
          <w:sz w:val="23"/>
          <w:szCs w:val="23"/>
        </w:rPr>
        <w:t xml:space="preserve">needs </w:t>
      </w:r>
      <w:r>
        <w:rPr>
          <w:rFonts w:ascii="Tahoma" w:hAnsi="Tahoma" w:cs="Tahoma"/>
          <w:sz w:val="23"/>
          <w:szCs w:val="23"/>
        </w:rPr>
        <w:t>expanding,</w:t>
      </w:r>
      <w:r w:rsidR="00C07B37">
        <w:rPr>
          <w:rFonts w:ascii="Tahoma" w:hAnsi="Tahoma" w:cs="Tahoma"/>
          <w:sz w:val="23"/>
          <w:szCs w:val="23"/>
        </w:rPr>
        <w:t xml:space="preserve"> or this group </w:t>
      </w:r>
      <w:r>
        <w:rPr>
          <w:rFonts w:ascii="Tahoma" w:hAnsi="Tahoma" w:cs="Tahoma"/>
          <w:sz w:val="23"/>
          <w:szCs w:val="23"/>
        </w:rPr>
        <w:t xml:space="preserve">must be </w:t>
      </w:r>
      <w:r w:rsidR="00C07B37">
        <w:rPr>
          <w:rFonts w:ascii="Tahoma" w:hAnsi="Tahoma" w:cs="Tahoma"/>
          <w:sz w:val="23"/>
          <w:szCs w:val="23"/>
        </w:rPr>
        <w:t>flexible enough to include related occupations that have not been listed specifically</w:t>
      </w:r>
      <w:r>
        <w:rPr>
          <w:rFonts w:ascii="Tahoma" w:hAnsi="Tahoma" w:cs="Tahoma"/>
          <w:sz w:val="23"/>
          <w:szCs w:val="23"/>
        </w:rPr>
        <w:t xml:space="preserve"> on the map</w:t>
      </w:r>
      <w:r w:rsidR="00C07B37">
        <w:rPr>
          <w:rFonts w:ascii="Tahoma" w:hAnsi="Tahoma" w:cs="Tahoma"/>
          <w:sz w:val="23"/>
          <w:szCs w:val="23"/>
        </w:rPr>
        <w:t>.</w:t>
      </w:r>
      <w:r w:rsidR="00FB7CB9">
        <w:rPr>
          <w:rFonts w:ascii="Tahoma" w:hAnsi="Tahoma" w:cs="Tahoma"/>
          <w:sz w:val="23"/>
          <w:szCs w:val="23"/>
        </w:rPr>
        <w:t xml:space="preserve"> </w:t>
      </w:r>
    </w:p>
    <w:p w14:paraId="3106886D" w14:textId="67307A49" w:rsidR="00340336" w:rsidRDefault="00340336" w:rsidP="00340336">
      <w:pPr>
        <w:rPr>
          <w:rFonts w:ascii="Tahoma" w:hAnsi="Tahoma" w:cs="Tahoma"/>
          <w:sz w:val="23"/>
          <w:szCs w:val="23"/>
        </w:rPr>
      </w:pPr>
      <w:r>
        <w:rPr>
          <w:rFonts w:ascii="Tahoma" w:hAnsi="Tahoma" w:cs="Tahoma"/>
          <w:sz w:val="23"/>
          <w:szCs w:val="23"/>
        </w:rPr>
        <w:t xml:space="preserve">Sub sector specialisms are required that are not great enough to warrant an option on the apprenticeship.  Current qualifications have this additional flexibility and </w:t>
      </w:r>
      <w:proofErr w:type="gramStart"/>
      <w:r>
        <w:rPr>
          <w:rFonts w:ascii="Tahoma" w:hAnsi="Tahoma" w:cs="Tahoma"/>
          <w:sz w:val="23"/>
          <w:szCs w:val="23"/>
        </w:rPr>
        <w:t>specialism</w:t>
      </w:r>
      <w:proofErr w:type="gramEnd"/>
      <w:r>
        <w:rPr>
          <w:rFonts w:ascii="Tahoma" w:hAnsi="Tahoma" w:cs="Tahoma"/>
          <w:sz w:val="23"/>
          <w:szCs w:val="23"/>
        </w:rPr>
        <w:t xml:space="preserve"> and it is crucial that it is not lost to enable suitably skilled workforce to be developed.  It is easier for an employer to contextualise and specialise a learner while they are doing an apprenticeship on the job than would be possible in a college environment. The occupational map would need revision and these sub sector specialisms recognising.  </w:t>
      </w:r>
    </w:p>
    <w:p w14:paraId="62AC944A" w14:textId="44ED824D" w:rsidR="00340336" w:rsidRPr="00FB2DD4" w:rsidRDefault="00340336" w:rsidP="00340336">
      <w:pPr>
        <w:rPr>
          <w:rFonts w:ascii="Tahoma" w:hAnsi="Tahoma" w:cs="Tahoma"/>
          <w:sz w:val="23"/>
          <w:szCs w:val="23"/>
        </w:rPr>
      </w:pPr>
      <w:r>
        <w:rPr>
          <w:rFonts w:ascii="Tahoma" w:hAnsi="Tahoma" w:cs="Tahoma"/>
          <w:sz w:val="23"/>
          <w:szCs w:val="23"/>
        </w:rPr>
        <w:t xml:space="preserve">For example, horticulture has many sub sectors including parks, botanical gardens, heritage gardens, domestic gardens, grounds maintenance (business parks, retail spaces) and landscape construction.  The RHS qualifications are well suited to those who wish to work in high maintenance environments such as public, botanical and heritage environments and are very highly valued.  </w:t>
      </w:r>
      <w:r w:rsidRPr="008E7B41">
        <w:rPr>
          <w:rFonts w:ascii="Tahoma" w:hAnsi="Tahoma" w:cs="Tahoma"/>
          <w:sz w:val="23"/>
          <w:szCs w:val="23"/>
        </w:rPr>
        <w:t xml:space="preserve">Over 3,000 candidates gain an RHS qualification each year and a large proportion of these are moving </w:t>
      </w:r>
      <w:proofErr w:type="gramStart"/>
      <w:r w:rsidRPr="008E7B41">
        <w:rPr>
          <w:rFonts w:ascii="Tahoma" w:hAnsi="Tahoma" w:cs="Tahoma"/>
          <w:sz w:val="23"/>
          <w:szCs w:val="23"/>
        </w:rPr>
        <w:t>into, or</w:t>
      </w:r>
      <w:proofErr w:type="gramEnd"/>
      <w:r w:rsidRPr="008E7B41">
        <w:rPr>
          <w:rFonts w:ascii="Tahoma" w:hAnsi="Tahoma" w:cs="Tahoma"/>
          <w:sz w:val="23"/>
          <w:szCs w:val="23"/>
        </w:rPr>
        <w:t xml:space="preserve"> upskilling </w:t>
      </w:r>
      <w:r w:rsidR="00895D7D">
        <w:rPr>
          <w:rFonts w:ascii="Tahoma" w:hAnsi="Tahoma" w:cs="Tahoma"/>
          <w:sz w:val="23"/>
          <w:szCs w:val="23"/>
        </w:rPr>
        <w:t>within</w:t>
      </w:r>
      <w:r w:rsidRPr="008E7B41">
        <w:rPr>
          <w:rFonts w:ascii="Tahoma" w:hAnsi="Tahoma" w:cs="Tahoma"/>
          <w:sz w:val="23"/>
          <w:szCs w:val="23"/>
        </w:rPr>
        <w:t xml:space="preserve"> the horticultural industry. The industry would suffer without them.</w:t>
      </w:r>
      <w:r>
        <w:rPr>
          <w:rFonts w:ascii="Tahoma" w:hAnsi="Tahoma" w:cs="Tahoma"/>
          <w:sz w:val="23"/>
          <w:szCs w:val="23"/>
        </w:rPr>
        <w:t xml:space="preserve"> This model does not recognise these needs and the occupational map needs to become more nuanced as well as recognising large ‘gaps’ that are missing.  For evidence of skills requirements not met by this structure please see the Horticulture Sector Skills Survey Report (</w:t>
      </w:r>
      <w:hyperlink r:id="rId9" w:history="1">
        <w:r w:rsidRPr="00AE463C">
          <w:rPr>
            <w:rStyle w:val="Hyperlink"/>
            <w:rFonts w:ascii="Tahoma" w:hAnsi="Tahoma" w:cs="Tahoma"/>
            <w:sz w:val="23"/>
            <w:szCs w:val="23"/>
          </w:rPr>
          <w:t>https://www.rhs.org.uk/science/pdf/horticulture-skills-report/horticulture-sector-skills-survey-report.pdf</w:t>
        </w:r>
      </w:hyperlink>
      <w:r>
        <w:rPr>
          <w:rFonts w:ascii="Tahoma" w:hAnsi="Tahoma" w:cs="Tahoma"/>
          <w:sz w:val="23"/>
          <w:szCs w:val="23"/>
        </w:rPr>
        <w:t xml:space="preserve">). </w:t>
      </w:r>
    </w:p>
    <w:p w14:paraId="4B09E317" w14:textId="03A71130" w:rsidR="00FB2DD4" w:rsidRPr="00FB2DD4" w:rsidRDefault="00A33392" w:rsidP="00340336">
      <w:pPr>
        <w:rPr>
          <w:rFonts w:ascii="Tahoma" w:hAnsi="Tahoma" w:cs="Tahoma"/>
          <w:sz w:val="23"/>
          <w:szCs w:val="23"/>
        </w:rPr>
      </w:pPr>
      <w:r>
        <w:rPr>
          <w:rFonts w:ascii="Tahoma" w:hAnsi="Tahoma" w:cs="Tahoma"/>
          <w:sz w:val="23"/>
          <w:szCs w:val="23"/>
        </w:rPr>
        <w:lastRenderedPageBreak/>
        <w:t>The occupational map rarely has adjacent levels as this is discouraged in apprenticeships.  Therefore</w:t>
      </w:r>
      <w:r w:rsidR="00340336">
        <w:rPr>
          <w:rFonts w:ascii="Tahoma" w:hAnsi="Tahoma" w:cs="Tahoma"/>
          <w:sz w:val="23"/>
          <w:szCs w:val="23"/>
        </w:rPr>
        <w:t>,</w:t>
      </w:r>
      <w:r>
        <w:rPr>
          <w:rFonts w:ascii="Tahoma" w:hAnsi="Tahoma" w:cs="Tahoma"/>
          <w:sz w:val="23"/>
          <w:szCs w:val="23"/>
        </w:rPr>
        <w:t xml:space="preserve"> </w:t>
      </w:r>
      <w:r w:rsidR="00FB7CB9">
        <w:rPr>
          <w:rFonts w:ascii="Tahoma" w:hAnsi="Tahoma" w:cs="Tahoma"/>
          <w:sz w:val="23"/>
          <w:szCs w:val="23"/>
        </w:rPr>
        <w:t>where there is a level 3 role on the map</w:t>
      </w:r>
      <w:r>
        <w:rPr>
          <w:rFonts w:ascii="Tahoma" w:hAnsi="Tahoma" w:cs="Tahoma"/>
          <w:sz w:val="23"/>
          <w:szCs w:val="23"/>
        </w:rPr>
        <w:t>,</w:t>
      </w:r>
      <w:r w:rsidR="00FB7CB9">
        <w:rPr>
          <w:rFonts w:ascii="Tahoma" w:hAnsi="Tahoma" w:cs="Tahoma"/>
          <w:sz w:val="23"/>
          <w:szCs w:val="23"/>
        </w:rPr>
        <w:t xml:space="preserve"> but no level 2 role</w:t>
      </w:r>
      <w:r w:rsidR="00C07B37">
        <w:rPr>
          <w:rFonts w:ascii="Tahoma" w:hAnsi="Tahoma" w:cs="Tahoma"/>
          <w:sz w:val="23"/>
          <w:szCs w:val="23"/>
        </w:rPr>
        <w:t xml:space="preserve"> for example forestry and production horticulture</w:t>
      </w:r>
      <w:r>
        <w:rPr>
          <w:rFonts w:ascii="Tahoma" w:hAnsi="Tahoma" w:cs="Tahoma"/>
          <w:sz w:val="23"/>
          <w:szCs w:val="23"/>
        </w:rPr>
        <w:t>, sectors</w:t>
      </w:r>
      <w:r w:rsidR="00C07B37">
        <w:rPr>
          <w:rFonts w:ascii="Tahoma" w:hAnsi="Tahoma" w:cs="Tahoma"/>
          <w:sz w:val="23"/>
          <w:szCs w:val="23"/>
        </w:rPr>
        <w:t xml:space="preserve"> require the opportunity for level 2 qualifications.  </w:t>
      </w:r>
      <w:r w:rsidR="00340336">
        <w:rPr>
          <w:rFonts w:ascii="Tahoma" w:hAnsi="Tahoma" w:cs="Tahoma"/>
          <w:sz w:val="23"/>
          <w:szCs w:val="23"/>
        </w:rPr>
        <w:t xml:space="preserve">These qualifications can lead to work or to progression and are more accessible to many learners than level 3.  </w:t>
      </w:r>
    </w:p>
    <w:p w14:paraId="6F2A035D" w14:textId="77777777" w:rsidR="00115A6F" w:rsidRPr="00FB2DD4" w:rsidRDefault="00115A6F" w:rsidP="00115A6F">
      <w:pPr>
        <w:rPr>
          <w:rFonts w:ascii="Tahoma" w:hAnsi="Tahoma" w:cs="Tahoma"/>
          <w:i/>
          <w:iCs/>
          <w:sz w:val="23"/>
          <w:szCs w:val="23"/>
        </w:rPr>
      </w:pPr>
      <w:r w:rsidRPr="00FB2DD4">
        <w:rPr>
          <w:rFonts w:ascii="Tahoma" w:hAnsi="Tahoma" w:cs="Tahoma"/>
          <w:i/>
          <w:iCs/>
          <w:sz w:val="23"/>
          <w:szCs w:val="23"/>
        </w:rPr>
        <w:t>Are you aware of any occupations that are in demand by employers but where an employer-led occupational standard does not currently exist?</w:t>
      </w:r>
    </w:p>
    <w:p w14:paraId="7AA0A123" w14:textId="77777777" w:rsidR="00115A6F" w:rsidRPr="00E834ED" w:rsidRDefault="00115A6F" w:rsidP="00115A6F">
      <w:pPr>
        <w:rPr>
          <w:rFonts w:ascii="Tahoma" w:hAnsi="Tahoma" w:cs="Tahoma"/>
          <w:sz w:val="23"/>
          <w:szCs w:val="23"/>
        </w:rPr>
      </w:pPr>
      <w:r w:rsidRPr="00E834ED">
        <w:rPr>
          <w:rFonts w:ascii="Tahoma" w:hAnsi="Tahoma" w:cs="Tahoma"/>
          <w:sz w:val="23"/>
          <w:szCs w:val="23"/>
        </w:rPr>
        <w:t xml:space="preserve"> Yes</w:t>
      </w:r>
    </w:p>
    <w:p w14:paraId="22D225C6" w14:textId="77777777" w:rsidR="00115A6F" w:rsidRPr="00FB2DD4" w:rsidRDefault="00115A6F" w:rsidP="00115A6F">
      <w:pPr>
        <w:rPr>
          <w:rFonts w:ascii="Tahoma" w:hAnsi="Tahoma" w:cs="Tahoma"/>
          <w:i/>
          <w:iCs/>
          <w:sz w:val="23"/>
          <w:szCs w:val="23"/>
        </w:rPr>
      </w:pPr>
      <w:r w:rsidRPr="00FB2DD4">
        <w:rPr>
          <w:rFonts w:ascii="Tahoma" w:hAnsi="Tahoma" w:cs="Tahoma"/>
          <w:i/>
          <w:iCs/>
          <w:sz w:val="23"/>
          <w:szCs w:val="23"/>
        </w:rPr>
        <w:t>Please provide example(s)</w:t>
      </w:r>
    </w:p>
    <w:p w14:paraId="62D7C197" w14:textId="3B4B222C" w:rsidR="001B1EEE" w:rsidRDefault="008A6E58" w:rsidP="00115A6F">
      <w:pPr>
        <w:rPr>
          <w:rFonts w:ascii="Tahoma" w:hAnsi="Tahoma" w:cs="Tahoma"/>
          <w:sz w:val="23"/>
          <w:szCs w:val="23"/>
        </w:rPr>
      </w:pPr>
      <w:r>
        <w:rPr>
          <w:rFonts w:ascii="Tahoma" w:hAnsi="Tahoma" w:cs="Tahoma"/>
          <w:sz w:val="23"/>
          <w:szCs w:val="23"/>
        </w:rPr>
        <w:t xml:space="preserve">The RHS qualifications are well suited to those who wish to work in high maintenance environments such as public, botanical and heritage environments and are very highly valued.  </w:t>
      </w:r>
      <w:r w:rsidR="001B1EEE" w:rsidRPr="001B1EEE">
        <w:rPr>
          <w:rFonts w:ascii="Tahoma" w:hAnsi="Tahoma" w:cs="Tahoma"/>
          <w:sz w:val="23"/>
          <w:szCs w:val="23"/>
        </w:rPr>
        <w:t xml:space="preserve">Over 3,000 candidates gain an RHS qualification each year and a large proportion of these are moving </w:t>
      </w:r>
      <w:proofErr w:type="gramStart"/>
      <w:r w:rsidR="001B1EEE" w:rsidRPr="001B1EEE">
        <w:rPr>
          <w:rFonts w:ascii="Tahoma" w:hAnsi="Tahoma" w:cs="Tahoma"/>
          <w:sz w:val="23"/>
          <w:szCs w:val="23"/>
        </w:rPr>
        <w:t>into, or</w:t>
      </w:r>
      <w:proofErr w:type="gramEnd"/>
      <w:r w:rsidR="001B1EEE" w:rsidRPr="001B1EEE">
        <w:rPr>
          <w:rFonts w:ascii="Tahoma" w:hAnsi="Tahoma" w:cs="Tahoma"/>
          <w:sz w:val="23"/>
          <w:szCs w:val="23"/>
        </w:rPr>
        <w:t xml:space="preserve"> upskilling in the horticultural industry. The industry would suffer without them.</w:t>
      </w:r>
      <w:r w:rsidR="001B1EEE">
        <w:rPr>
          <w:rFonts w:ascii="Tahoma" w:hAnsi="Tahoma" w:cs="Tahoma"/>
          <w:sz w:val="23"/>
          <w:szCs w:val="23"/>
        </w:rPr>
        <w:t xml:space="preserve"> </w:t>
      </w:r>
      <w:r>
        <w:rPr>
          <w:rFonts w:ascii="Tahoma" w:hAnsi="Tahoma" w:cs="Tahoma"/>
          <w:sz w:val="23"/>
          <w:szCs w:val="23"/>
        </w:rPr>
        <w:t xml:space="preserve"> </w:t>
      </w:r>
    </w:p>
    <w:p w14:paraId="12CE397D" w14:textId="77777777" w:rsidR="00A23E2F" w:rsidRDefault="00340336" w:rsidP="00115A6F">
      <w:pPr>
        <w:rPr>
          <w:rFonts w:ascii="Tahoma" w:hAnsi="Tahoma" w:cs="Tahoma"/>
          <w:sz w:val="23"/>
          <w:szCs w:val="23"/>
        </w:rPr>
      </w:pPr>
      <w:r>
        <w:rPr>
          <w:rFonts w:ascii="Tahoma" w:hAnsi="Tahoma" w:cs="Tahoma"/>
          <w:sz w:val="23"/>
          <w:szCs w:val="23"/>
        </w:rPr>
        <w:t xml:space="preserve">Forestry </w:t>
      </w:r>
      <w:r w:rsidR="00A23E2F">
        <w:rPr>
          <w:rFonts w:ascii="Tahoma" w:hAnsi="Tahoma" w:cs="Tahoma"/>
          <w:sz w:val="23"/>
          <w:szCs w:val="23"/>
        </w:rPr>
        <w:t>has an occupation that sits between level 2 and 3.  Forest Operative at level 2 has been revised and written up to a full level three (now Forest Craftsperson) where the most need is, but there are many workers at level 2 who are important in the workforce.</w:t>
      </w:r>
    </w:p>
    <w:p w14:paraId="4C6AD39E" w14:textId="79F84AF7" w:rsidR="00340336" w:rsidRDefault="00A23E2F" w:rsidP="00115A6F">
      <w:pPr>
        <w:rPr>
          <w:rFonts w:ascii="Tahoma" w:hAnsi="Tahoma" w:cs="Tahoma"/>
          <w:sz w:val="23"/>
          <w:szCs w:val="23"/>
        </w:rPr>
      </w:pPr>
      <w:r>
        <w:rPr>
          <w:rFonts w:ascii="Tahoma" w:hAnsi="Tahoma" w:cs="Tahoma"/>
          <w:sz w:val="23"/>
          <w:szCs w:val="23"/>
        </w:rPr>
        <w:t xml:space="preserve">   </w:t>
      </w:r>
    </w:p>
    <w:p w14:paraId="72FFE8AE" w14:textId="5FB94D4F" w:rsidR="00115A6F" w:rsidRPr="00FB2DD4" w:rsidRDefault="00115A6F" w:rsidP="00115A6F">
      <w:pPr>
        <w:rPr>
          <w:rFonts w:ascii="Tahoma" w:hAnsi="Tahoma" w:cs="Tahoma"/>
          <w:i/>
          <w:iCs/>
          <w:sz w:val="23"/>
          <w:szCs w:val="23"/>
        </w:rPr>
      </w:pPr>
      <w:r w:rsidRPr="00FB2DD4">
        <w:rPr>
          <w:rFonts w:ascii="Tahoma" w:hAnsi="Tahoma" w:cs="Tahoma"/>
          <w:i/>
          <w:iCs/>
          <w:sz w:val="23"/>
          <w:szCs w:val="23"/>
        </w:rPr>
        <w:t>Do you agree that these qualifications should be available to adults only?</w:t>
      </w:r>
    </w:p>
    <w:p w14:paraId="4250CF12" w14:textId="420C13BF" w:rsidR="00115A6F" w:rsidRPr="00E834ED" w:rsidRDefault="00115A6F" w:rsidP="00115A6F">
      <w:pPr>
        <w:rPr>
          <w:rFonts w:ascii="Tahoma" w:hAnsi="Tahoma" w:cs="Tahoma"/>
          <w:sz w:val="23"/>
          <w:szCs w:val="23"/>
        </w:rPr>
      </w:pPr>
      <w:r w:rsidRPr="00E834ED">
        <w:rPr>
          <w:rFonts w:ascii="Tahoma" w:hAnsi="Tahoma" w:cs="Tahoma"/>
          <w:sz w:val="23"/>
          <w:szCs w:val="23"/>
        </w:rPr>
        <w:t>No</w:t>
      </w:r>
    </w:p>
    <w:p w14:paraId="158519D6" w14:textId="67F19360" w:rsidR="00115A6F" w:rsidRPr="00FB2DD4" w:rsidRDefault="00115A6F" w:rsidP="00115A6F">
      <w:pPr>
        <w:rPr>
          <w:rFonts w:ascii="Tahoma" w:hAnsi="Tahoma" w:cs="Tahoma"/>
          <w:i/>
          <w:iCs/>
          <w:sz w:val="23"/>
          <w:szCs w:val="23"/>
        </w:rPr>
      </w:pPr>
      <w:r w:rsidRPr="00FB2DD4">
        <w:rPr>
          <w:rFonts w:ascii="Tahoma" w:hAnsi="Tahoma" w:cs="Tahoma"/>
          <w:i/>
          <w:iCs/>
          <w:sz w:val="23"/>
          <w:szCs w:val="23"/>
        </w:rPr>
        <w:t>Please give reasons for your answer</w:t>
      </w:r>
    </w:p>
    <w:p w14:paraId="39AFC32F" w14:textId="383482EC" w:rsidR="00115A6F" w:rsidRPr="00E834ED" w:rsidRDefault="009043F5" w:rsidP="00115A6F">
      <w:pPr>
        <w:rPr>
          <w:rFonts w:ascii="Tahoma" w:hAnsi="Tahoma" w:cs="Tahoma"/>
          <w:sz w:val="23"/>
          <w:szCs w:val="23"/>
        </w:rPr>
      </w:pPr>
      <w:r>
        <w:rPr>
          <w:rFonts w:ascii="Tahoma" w:hAnsi="Tahoma" w:cs="Tahoma"/>
          <w:sz w:val="23"/>
          <w:szCs w:val="23"/>
        </w:rPr>
        <w:t>Some young people have a clear idea of what occupation and sub sector they wish to work in and should be able to take the most appropriate qualification to meet their career goals.</w:t>
      </w:r>
      <w:r w:rsidR="008A6E58">
        <w:rPr>
          <w:rFonts w:ascii="Tahoma" w:hAnsi="Tahoma" w:cs="Tahoma"/>
          <w:sz w:val="23"/>
          <w:szCs w:val="23"/>
        </w:rPr>
        <w:t xml:space="preserve">  An example would be that the RHS Qualifications are used in schools.  Where you have a level 3 standard, but no level 2, a level 2 qualification may be much more attainable for a learner with less maturity.  </w:t>
      </w:r>
      <w:r>
        <w:rPr>
          <w:rFonts w:ascii="Tahoma" w:hAnsi="Tahoma" w:cs="Tahoma"/>
          <w:sz w:val="23"/>
          <w:szCs w:val="23"/>
        </w:rPr>
        <w:t xml:space="preserve">  </w:t>
      </w:r>
    </w:p>
    <w:p w14:paraId="73B0918E" w14:textId="77777777" w:rsidR="00895D7D" w:rsidRDefault="00895D7D" w:rsidP="00895D7D">
      <w:pPr>
        <w:pStyle w:val="Heading1"/>
      </w:pPr>
      <w:bookmarkStart w:id="14" w:name="_Toc99562957"/>
      <w:r>
        <w:t>Level 1 qualifications for adults</w:t>
      </w:r>
      <w:bookmarkEnd w:id="14"/>
    </w:p>
    <w:p w14:paraId="57CCDD42"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Group 9: Level 1 pre-technical qualifications. Adults will be able to access level 1 qualifications which lead directly onto level 2 qualifications that provide entry into occupations at level 2. These qualifications will provide an overview of the occupational route as well as some introductory technical skills, with a focus on progression to further study. We would expect these qualifications to be small to medium size, depending on the route.</w:t>
      </w:r>
    </w:p>
    <w:p w14:paraId="695123BC"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Group 10: Level 1 qualifications that act as a prerequisite to employment. These may be linked to occupational regulation, helping adults gain access to employment where they may be able to then learn on the job in order to become competent in an occupation, for example qualifications in health and safety.</w:t>
      </w:r>
    </w:p>
    <w:p w14:paraId="68D4DFAD"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Group 11: Level 1 qualifications providing additional and complementary skills. These are performing arts graded qualifications: small, performance-focused qualifications in the area of music, dance, drama and communication, and musical theatre. These qualifications allow students to progress onto higher levels with the ultimate aim of gaining a mastery of practical performance skill. These will be available for those adults who would benefit from taking them.</w:t>
      </w:r>
    </w:p>
    <w:p w14:paraId="4995DDC4" w14:textId="77777777" w:rsidR="00895D7D" w:rsidRDefault="00895D7D" w:rsidP="00895D7D">
      <w:pPr>
        <w:rPr>
          <w:rFonts w:ascii="Tahoma" w:hAnsi="Tahoma" w:cs="Tahoma"/>
          <w:i/>
          <w:iCs/>
          <w:sz w:val="23"/>
          <w:szCs w:val="23"/>
        </w:rPr>
      </w:pPr>
      <w:r>
        <w:rPr>
          <w:rFonts w:ascii="Tahoma" w:hAnsi="Tahoma" w:cs="Tahoma"/>
          <w:i/>
          <w:iCs/>
          <w:sz w:val="23"/>
          <w:szCs w:val="23"/>
        </w:rPr>
        <w:lastRenderedPageBreak/>
        <w:t>23. Do you agree that we should fund the following qualification groups at level 1 for adult learners:</w:t>
      </w:r>
    </w:p>
    <w:tbl>
      <w:tblPr>
        <w:tblStyle w:val="TableGrid"/>
        <w:tblW w:w="0" w:type="auto"/>
        <w:tblLook w:val="04A0" w:firstRow="1" w:lastRow="0" w:firstColumn="1" w:lastColumn="0" w:noHBand="0" w:noVBand="1"/>
      </w:tblPr>
      <w:tblGrid>
        <w:gridCol w:w="7508"/>
        <w:gridCol w:w="573"/>
        <w:gridCol w:w="941"/>
      </w:tblGrid>
      <w:tr w:rsidR="00895D7D" w14:paraId="76253E46" w14:textId="77777777" w:rsidTr="00895D7D">
        <w:tc>
          <w:tcPr>
            <w:tcW w:w="7508" w:type="dxa"/>
            <w:tcBorders>
              <w:top w:val="single" w:sz="4" w:space="0" w:color="auto"/>
              <w:left w:val="single" w:sz="4" w:space="0" w:color="auto"/>
              <w:bottom w:val="single" w:sz="4" w:space="0" w:color="auto"/>
              <w:right w:val="single" w:sz="4" w:space="0" w:color="auto"/>
            </w:tcBorders>
          </w:tcPr>
          <w:p w14:paraId="156993F4" w14:textId="77777777" w:rsidR="00895D7D" w:rsidRDefault="00895D7D">
            <w:pPr>
              <w:rPr>
                <w:rFonts w:ascii="Tahoma" w:hAnsi="Tahoma" w:cs="Tahoma"/>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14:paraId="0E5DB2C3" w14:textId="77777777" w:rsidR="00895D7D" w:rsidRDefault="00895D7D">
            <w:pPr>
              <w:rPr>
                <w:rFonts w:ascii="Tahoma" w:hAnsi="Tahoma" w:cs="Tahoma"/>
                <w:sz w:val="23"/>
                <w:szCs w:val="23"/>
              </w:rPr>
            </w:pPr>
            <w:r>
              <w:rPr>
                <w:rFonts w:ascii="Tahoma" w:hAnsi="Tahoma" w:cs="Tahoma"/>
                <w:sz w:val="23"/>
                <w:szCs w:val="23"/>
              </w:rPr>
              <w:t>Yes</w:t>
            </w:r>
          </w:p>
        </w:tc>
        <w:tc>
          <w:tcPr>
            <w:tcW w:w="941" w:type="dxa"/>
            <w:tcBorders>
              <w:top w:val="single" w:sz="4" w:space="0" w:color="auto"/>
              <w:left w:val="single" w:sz="4" w:space="0" w:color="auto"/>
              <w:bottom w:val="single" w:sz="4" w:space="0" w:color="auto"/>
              <w:right w:val="single" w:sz="4" w:space="0" w:color="auto"/>
            </w:tcBorders>
            <w:hideMark/>
          </w:tcPr>
          <w:p w14:paraId="3B9FA261" w14:textId="77777777" w:rsidR="00895D7D" w:rsidRDefault="00895D7D">
            <w:pPr>
              <w:rPr>
                <w:rFonts w:ascii="Tahoma" w:hAnsi="Tahoma" w:cs="Tahoma"/>
                <w:sz w:val="23"/>
                <w:szCs w:val="23"/>
              </w:rPr>
            </w:pPr>
            <w:r>
              <w:rPr>
                <w:rFonts w:ascii="Tahoma" w:hAnsi="Tahoma" w:cs="Tahoma"/>
                <w:sz w:val="23"/>
                <w:szCs w:val="23"/>
              </w:rPr>
              <w:t>No</w:t>
            </w:r>
          </w:p>
        </w:tc>
      </w:tr>
      <w:tr w:rsidR="00895D7D" w14:paraId="636881DC"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0DD2F7DF" w14:textId="77777777" w:rsidR="00895D7D" w:rsidRDefault="00895D7D">
            <w:pPr>
              <w:rPr>
                <w:rFonts w:ascii="Tahoma" w:hAnsi="Tahoma" w:cs="Tahoma"/>
                <w:sz w:val="23"/>
                <w:szCs w:val="23"/>
              </w:rPr>
            </w:pPr>
            <w:r>
              <w:rPr>
                <w:rFonts w:ascii="Tahoma" w:hAnsi="Tahoma" w:cs="Tahoma"/>
                <w:sz w:val="23"/>
                <w:szCs w:val="23"/>
              </w:rPr>
              <w:t>Group 9: Level 1 pre-technical qualifications supporting progression to level 2 study</w:t>
            </w:r>
          </w:p>
        </w:tc>
        <w:tc>
          <w:tcPr>
            <w:tcW w:w="567" w:type="dxa"/>
            <w:tcBorders>
              <w:top w:val="single" w:sz="4" w:space="0" w:color="auto"/>
              <w:left w:val="single" w:sz="4" w:space="0" w:color="auto"/>
              <w:bottom w:val="single" w:sz="4" w:space="0" w:color="auto"/>
              <w:right w:val="single" w:sz="4" w:space="0" w:color="auto"/>
            </w:tcBorders>
            <w:hideMark/>
          </w:tcPr>
          <w:p w14:paraId="717BE3FA"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38E5CFFA" w14:textId="77777777" w:rsidR="00895D7D" w:rsidRDefault="00895D7D">
            <w:pPr>
              <w:rPr>
                <w:rFonts w:ascii="Tahoma" w:hAnsi="Tahoma" w:cs="Tahoma"/>
                <w:sz w:val="23"/>
                <w:szCs w:val="23"/>
              </w:rPr>
            </w:pPr>
          </w:p>
        </w:tc>
      </w:tr>
      <w:tr w:rsidR="00895D7D" w14:paraId="582C99D0"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3B4ABF2C" w14:textId="77777777" w:rsidR="00895D7D" w:rsidRDefault="00895D7D">
            <w:pPr>
              <w:rPr>
                <w:rFonts w:ascii="Tahoma" w:hAnsi="Tahoma" w:cs="Tahoma"/>
                <w:sz w:val="23"/>
                <w:szCs w:val="23"/>
              </w:rPr>
            </w:pPr>
            <w:r>
              <w:rPr>
                <w:rFonts w:ascii="Tahoma" w:hAnsi="Tahoma" w:cs="Tahoma"/>
                <w:sz w:val="23"/>
                <w:szCs w:val="23"/>
              </w:rPr>
              <w:t>Group 10: Level 1 qualifications serving as a prerequisite to employment</w:t>
            </w:r>
          </w:p>
        </w:tc>
        <w:tc>
          <w:tcPr>
            <w:tcW w:w="567" w:type="dxa"/>
            <w:tcBorders>
              <w:top w:val="single" w:sz="4" w:space="0" w:color="auto"/>
              <w:left w:val="single" w:sz="4" w:space="0" w:color="auto"/>
              <w:bottom w:val="single" w:sz="4" w:space="0" w:color="auto"/>
              <w:right w:val="single" w:sz="4" w:space="0" w:color="auto"/>
            </w:tcBorders>
            <w:hideMark/>
          </w:tcPr>
          <w:p w14:paraId="3D94C431"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0F37510A" w14:textId="77777777" w:rsidR="00895D7D" w:rsidRDefault="00895D7D">
            <w:pPr>
              <w:rPr>
                <w:rFonts w:ascii="Tahoma" w:hAnsi="Tahoma" w:cs="Tahoma"/>
                <w:sz w:val="23"/>
                <w:szCs w:val="23"/>
              </w:rPr>
            </w:pPr>
          </w:p>
        </w:tc>
      </w:tr>
      <w:tr w:rsidR="00895D7D" w14:paraId="15E79E90"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4215AEB5" w14:textId="77777777" w:rsidR="00895D7D" w:rsidRDefault="00895D7D">
            <w:pPr>
              <w:rPr>
                <w:rFonts w:ascii="Tahoma" w:hAnsi="Tahoma" w:cs="Tahoma"/>
                <w:sz w:val="23"/>
                <w:szCs w:val="23"/>
              </w:rPr>
            </w:pPr>
            <w:r>
              <w:rPr>
                <w:rFonts w:ascii="Tahoma" w:hAnsi="Tahoma" w:cs="Tahoma"/>
                <w:sz w:val="23"/>
                <w:szCs w:val="23"/>
              </w:rPr>
              <w:t>Group 11: Level 1 graded qualifications in performing arts and level 1 project qualifications</w:t>
            </w:r>
          </w:p>
        </w:tc>
        <w:tc>
          <w:tcPr>
            <w:tcW w:w="567" w:type="dxa"/>
            <w:tcBorders>
              <w:top w:val="single" w:sz="4" w:space="0" w:color="auto"/>
              <w:left w:val="single" w:sz="4" w:space="0" w:color="auto"/>
              <w:bottom w:val="single" w:sz="4" w:space="0" w:color="auto"/>
              <w:right w:val="single" w:sz="4" w:space="0" w:color="auto"/>
            </w:tcBorders>
            <w:hideMark/>
          </w:tcPr>
          <w:p w14:paraId="54DC300B"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1E2BEB1E" w14:textId="77777777" w:rsidR="00895D7D" w:rsidRDefault="00895D7D">
            <w:pPr>
              <w:rPr>
                <w:rFonts w:ascii="Tahoma" w:hAnsi="Tahoma" w:cs="Tahoma"/>
                <w:sz w:val="23"/>
                <w:szCs w:val="23"/>
              </w:rPr>
            </w:pPr>
          </w:p>
        </w:tc>
      </w:tr>
    </w:tbl>
    <w:p w14:paraId="71BACAC8" w14:textId="77777777" w:rsidR="00895D7D" w:rsidRDefault="00895D7D" w:rsidP="00895D7D">
      <w:pPr>
        <w:rPr>
          <w:rFonts w:ascii="Tahoma" w:hAnsi="Tahoma" w:cs="Tahoma"/>
          <w:sz w:val="23"/>
          <w:szCs w:val="23"/>
        </w:rPr>
      </w:pPr>
    </w:p>
    <w:p w14:paraId="26025E02" w14:textId="77777777" w:rsidR="00895D7D" w:rsidRDefault="00895D7D" w:rsidP="00895D7D">
      <w:pPr>
        <w:rPr>
          <w:rFonts w:ascii="Tahoma" w:hAnsi="Tahoma" w:cs="Tahoma"/>
          <w:i/>
          <w:iCs/>
          <w:sz w:val="23"/>
          <w:szCs w:val="23"/>
        </w:rPr>
      </w:pPr>
      <w:r>
        <w:rPr>
          <w:rFonts w:ascii="Tahoma" w:hAnsi="Tahoma" w:cs="Tahoma"/>
          <w:i/>
          <w:iCs/>
          <w:sz w:val="23"/>
          <w:szCs w:val="23"/>
        </w:rPr>
        <w:t>Please give reasons for your answer</w:t>
      </w:r>
    </w:p>
    <w:p w14:paraId="43DD363D" w14:textId="77777777" w:rsidR="00895D7D" w:rsidRDefault="00895D7D" w:rsidP="00895D7D">
      <w:pPr>
        <w:rPr>
          <w:rFonts w:ascii="Tahoma" w:hAnsi="Tahoma" w:cs="Tahoma"/>
          <w:sz w:val="23"/>
          <w:szCs w:val="23"/>
        </w:rPr>
      </w:pPr>
      <w:r>
        <w:rPr>
          <w:rFonts w:ascii="Tahoma" w:hAnsi="Tahoma" w:cs="Tahoma"/>
          <w:sz w:val="23"/>
          <w:szCs w:val="23"/>
        </w:rPr>
        <w:t>No further comment</w:t>
      </w:r>
    </w:p>
    <w:p w14:paraId="18768EE4" w14:textId="77777777" w:rsidR="00895D7D" w:rsidRDefault="00895D7D" w:rsidP="00895D7D">
      <w:pPr>
        <w:pStyle w:val="Heading1"/>
      </w:pPr>
      <w:bookmarkStart w:id="15" w:name="_Toc99562958"/>
      <w:r>
        <w:t>Groups 14 &amp; 15 Entry Level Qualifications for adults</w:t>
      </w:r>
      <w:bookmarkEnd w:id="15"/>
    </w:p>
    <w:p w14:paraId="1754744F"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Group 14: Entry level 3 pre-technical qualifications. For adult students who need to begin at entry level, there should be qualifications that engage them and support progression to higher levels. These qualifications lead directly onto a level 1 qualification, aligned to an occupational route, as part of an eventual progression route to occupational competence at level 2 and above. These qualifications should provide an overview of the route and may provide a taster of different occupational areas. We would expect these qualifications to be small to medium size.</w:t>
      </w:r>
    </w:p>
    <w:p w14:paraId="1DFEA603"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Group 15: Entry level qualifications providing additional and complementary skills. Performing arts graded qualifications at entry levels 1, 2 and 3 will also be available for adults looking to gain foundation knowledge and progress onto higher grades to develop their practical performance skill.</w:t>
      </w:r>
    </w:p>
    <w:p w14:paraId="4D33741E" w14:textId="77777777" w:rsidR="00895D7D" w:rsidRDefault="00895D7D" w:rsidP="00895D7D">
      <w:pPr>
        <w:rPr>
          <w:rFonts w:ascii="Tahoma" w:hAnsi="Tahoma" w:cs="Tahoma"/>
          <w:i/>
          <w:iCs/>
          <w:sz w:val="23"/>
          <w:szCs w:val="23"/>
        </w:rPr>
      </w:pPr>
      <w:r>
        <w:rPr>
          <w:rFonts w:ascii="Tahoma" w:hAnsi="Tahoma" w:cs="Tahoma"/>
          <w:i/>
          <w:iCs/>
          <w:sz w:val="23"/>
          <w:szCs w:val="23"/>
        </w:rPr>
        <w:t>24. Do you agree that we should fund the following qualification groups at entry level for adults:</w:t>
      </w:r>
    </w:p>
    <w:p w14:paraId="49FA7120" w14:textId="77777777" w:rsidR="00895D7D" w:rsidRDefault="00895D7D" w:rsidP="00895D7D"/>
    <w:tbl>
      <w:tblPr>
        <w:tblStyle w:val="TableGrid"/>
        <w:tblW w:w="0" w:type="auto"/>
        <w:tblLook w:val="04A0" w:firstRow="1" w:lastRow="0" w:firstColumn="1" w:lastColumn="0" w:noHBand="0" w:noVBand="1"/>
      </w:tblPr>
      <w:tblGrid>
        <w:gridCol w:w="7508"/>
        <w:gridCol w:w="573"/>
        <w:gridCol w:w="941"/>
      </w:tblGrid>
      <w:tr w:rsidR="00895D7D" w14:paraId="3D67B97B" w14:textId="77777777" w:rsidTr="00895D7D">
        <w:tc>
          <w:tcPr>
            <w:tcW w:w="7508" w:type="dxa"/>
            <w:tcBorders>
              <w:top w:val="single" w:sz="4" w:space="0" w:color="auto"/>
              <w:left w:val="single" w:sz="4" w:space="0" w:color="auto"/>
              <w:bottom w:val="single" w:sz="4" w:space="0" w:color="auto"/>
              <w:right w:val="single" w:sz="4" w:space="0" w:color="auto"/>
            </w:tcBorders>
          </w:tcPr>
          <w:p w14:paraId="27D2A461" w14:textId="77777777" w:rsidR="00895D7D" w:rsidRDefault="00895D7D">
            <w:pPr>
              <w:rPr>
                <w:rFonts w:ascii="Tahoma" w:hAnsi="Tahoma" w:cs="Tahoma"/>
                <w:sz w:val="23"/>
                <w:szCs w:val="23"/>
              </w:rPr>
            </w:pPr>
          </w:p>
          <w:p w14:paraId="56F8E937" w14:textId="77777777" w:rsidR="00895D7D" w:rsidRDefault="00895D7D">
            <w:pPr>
              <w:rPr>
                <w:rFonts w:ascii="Tahoma" w:hAnsi="Tahoma" w:cs="Tahoma"/>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14:paraId="2617C3DD" w14:textId="77777777" w:rsidR="00895D7D" w:rsidRDefault="00895D7D">
            <w:pPr>
              <w:rPr>
                <w:rFonts w:ascii="Tahoma" w:hAnsi="Tahoma" w:cs="Tahoma"/>
                <w:sz w:val="23"/>
                <w:szCs w:val="23"/>
              </w:rPr>
            </w:pPr>
            <w:r>
              <w:rPr>
                <w:rFonts w:ascii="Tahoma" w:hAnsi="Tahoma" w:cs="Tahoma"/>
                <w:sz w:val="23"/>
                <w:szCs w:val="23"/>
              </w:rPr>
              <w:t>Yes</w:t>
            </w:r>
          </w:p>
        </w:tc>
        <w:tc>
          <w:tcPr>
            <w:tcW w:w="941" w:type="dxa"/>
            <w:tcBorders>
              <w:top w:val="single" w:sz="4" w:space="0" w:color="auto"/>
              <w:left w:val="single" w:sz="4" w:space="0" w:color="auto"/>
              <w:bottom w:val="single" w:sz="4" w:space="0" w:color="auto"/>
              <w:right w:val="single" w:sz="4" w:space="0" w:color="auto"/>
            </w:tcBorders>
            <w:hideMark/>
          </w:tcPr>
          <w:p w14:paraId="78C1C9CD" w14:textId="77777777" w:rsidR="00895D7D" w:rsidRDefault="00895D7D">
            <w:pPr>
              <w:rPr>
                <w:rFonts w:ascii="Tahoma" w:hAnsi="Tahoma" w:cs="Tahoma"/>
                <w:sz w:val="23"/>
                <w:szCs w:val="23"/>
              </w:rPr>
            </w:pPr>
            <w:r>
              <w:rPr>
                <w:rFonts w:ascii="Tahoma" w:hAnsi="Tahoma" w:cs="Tahoma"/>
                <w:sz w:val="23"/>
                <w:szCs w:val="23"/>
              </w:rPr>
              <w:t>No</w:t>
            </w:r>
          </w:p>
        </w:tc>
      </w:tr>
      <w:tr w:rsidR="00895D7D" w14:paraId="5393F779"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4F436ED6" w14:textId="77777777" w:rsidR="00895D7D" w:rsidRDefault="00895D7D">
            <w:pPr>
              <w:rPr>
                <w:rFonts w:ascii="Tahoma" w:hAnsi="Tahoma" w:cs="Tahoma"/>
                <w:sz w:val="23"/>
                <w:szCs w:val="23"/>
              </w:rPr>
            </w:pPr>
            <w:r>
              <w:rPr>
                <w:rFonts w:ascii="Tahoma" w:hAnsi="Tahoma" w:cs="Tahoma"/>
                <w:sz w:val="23"/>
                <w:szCs w:val="23"/>
              </w:rPr>
              <w:t>Group 14: Entry level 3 pre-technical qualifications supporting progression to level 1</w:t>
            </w:r>
          </w:p>
        </w:tc>
        <w:tc>
          <w:tcPr>
            <w:tcW w:w="567" w:type="dxa"/>
            <w:tcBorders>
              <w:top w:val="single" w:sz="4" w:space="0" w:color="auto"/>
              <w:left w:val="single" w:sz="4" w:space="0" w:color="auto"/>
              <w:bottom w:val="single" w:sz="4" w:space="0" w:color="auto"/>
              <w:right w:val="single" w:sz="4" w:space="0" w:color="auto"/>
            </w:tcBorders>
            <w:hideMark/>
          </w:tcPr>
          <w:p w14:paraId="68FFE8B2"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3C8EF684" w14:textId="77777777" w:rsidR="00895D7D" w:rsidRDefault="00895D7D">
            <w:pPr>
              <w:rPr>
                <w:rFonts w:ascii="Tahoma" w:hAnsi="Tahoma" w:cs="Tahoma"/>
                <w:sz w:val="23"/>
                <w:szCs w:val="23"/>
              </w:rPr>
            </w:pPr>
          </w:p>
        </w:tc>
      </w:tr>
      <w:tr w:rsidR="00895D7D" w14:paraId="6F3B2E35"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6E89CEC5" w14:textId="77777777" w:rsidR="00895D7D" w:rsidRDefault="00895D7D">
            <w:pPr>
              <w:rPr>
                <w:rFonts w:ascii="Tahoma" w:hAnsi="Tahoma" w:cs="Tahoma"/>
                <w:sz w:val="23"/>
                <w:szCs w:val="23"/>
              </w:rPr>
            </w:pPr>
            <w:r>
              <w:rPr>
                <w:rFonts w:ascii="Tahoma" w:hAnsi="Tahoma" w:cs="Tahoma"/>
                <w:sz w:val="23"/>
                <w:szCs w:val="23"/>
              </w:rPr>
              <w:t>Group 15: Entry level performing arts graded qualifications</w:t>
            </w:r>
          </w:p>
        </w:tc>
        <w:tc>
          <w:tcPr>
            <w:tcW w:w="567" w:type="dxa"/>
            <w:tcBorders>
              <w:top w:val="single" w:sz="4" w:space="0" w:color="auto"/>
              <w:left w:val="single" w:sz="4" w:space="0" w:color="auto"/>
              <w:bottom w:val="single" w:sz="4" w:space="0" w:color="auto"/>
              <w:right w:val="single" w:sz="4" w:space="0" w:color="auto"/>
            </w:tcBorders>
            <w:hideMark/>
          </w:tcPr>
          <w:p w14:paraId="37CE5866"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02220C36" w14:textId="77777777" w:rsidR="00895D7D" w:rsidRDefault="00895D7D">
            <w:pPr>
              <w:rPr>
                <w:rFonts w:ascii="Tahoma" w:hAnsi="Tahoma" w:cs="Tahoma"/>
                <w:sz w:val="23"/>
                <w:szCs w:val="23"/>
              </w:rPr>
            </w:pPr>
          </w:p>
        </w:tc>
      </w:tr>
    </w:tbl>
    <w:p w14:paraId="4C68A91B" w14:textId="77777777" w:rsidR="00895D7D" w:rsidRDefault="00895D7D" w:rsidP="00895D7D">
      <w:pPr>
        <w:rPr>
          <w:rFonts w:ascii="Tahoma" w:hAnsi="Tahoma" w:cs="Tahoma"/>
          <w:b/>
          <w:bCs/>
          <w:sz w:val="23"/>
          <w:szCs w:val="23"/>
        </w:rPr>
      </w:pPr>
    </w:p>
    <w:p w14:paraId="662C5955" w14:textId="77777777" w:rsidR="00895D7D" w:rsidRDefault="00895D7D" w:rsidP="00895D7D">
      <w:pPr>
        <w:rPr>
          <w:rFonts w:ascii="Tahoma" w:hAnsi="Tahoma" w:cs="Tahoma"/>
          <w:i/>
          <w:iCs/>
          <w:sz w:val="23"/>
          <w:szCs w:val="23"/>
        </w:rPr>
      </w:pPr>
      <w:r>
        <w:rPr>
          <w:rFonts w:ascii="Tahoma" w:hAnsi="Tahoma" w:cs="Tahoma"/>
          <w:i/>
          <w:iCs/>
          <w:sz w:val="23"/>
          <w:szCs w:val="23"/>
        </w:rPr>
        <w:t>Please give reasons for your answer</w:t>
      </w:r>
    </w:p>
    <w:p w14:paraId="4E6BFAA1" w14:textId="77777777" w:rsidR="00895D7D" w:rsidRDefault="00895D7D" w:rsidP="00895D7D">
      <w:pPr>
        <w:rPr>
          <w:rFonts w:ascii="Tahoma" w:hAnsi="Tahoma" w:cs="Tahoma"/>
          <w:sz w:val="23"/>
          <w:szCs w:val="23"/>
        </w:rPr>
      </w:pPr>
      <w:r>
        <w:rPr>
          <w:rFonts w:ascii="Tahoma" w:hAnsi="Tahoma" w:cs="Tahoma"/>
          <w:sz w:val="23"/>
          <w:szCs w:val="23"/>
        </w:rPr>
        <w:t xml:space="preserve">No further comment. </w:t>
      </w:r>
    </w:p>
    <w:p w14:paraId="1F7AC9C8" w14:textId="77777777" w:rsidR="00895D7D" w:rsidRDefault="00895D7D" w:rsidP="00895D7D">
      <w:pPr>
        <w:pStyle w:val="Heading1"/>
      </w:pPr>
      <w:bookmarkStart w:id="16" w:name="_Toc99562959"/>
      <w:r>
        <w:t>Groups 12 and 16: English and maths qualifications (non FSQ/GCSE)</w:t>
      </w:r>
      <w:bookmarkEnd w:id="16"/>
    </w:p>
    <w:p w14:paraId="449BC896"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We propose continuing to fund at level 1 and entry level (including sub levels) high-quality English and maths qualifications that deliver basic literacy and numeracy for those who cannot directly access FSQ and GCSE.</w:t>
      </w:r>
    </w:p>
    <w:p w14:paraId="276AEE8C"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 We propose to remove funding at level 2 for non-GCSE/FSQ English and maths qualifications.</w:t>
      </w:r>
    </w:p>
    <w:p w14:paraId="4C4E3259"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lastRenderedPageBreak/>
        <w:t>• We propose to consider the need for updating the National Standards for Adult Literacy and Numeracy</w:t>
      </w:r>
    </w:p>
    <w:p w14:paraId="6EEE50BA"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To be in scope for funding these qualifications must:</w:t>
      </w:r>
    </w:p>
    <w:p w14:paraId="479BEBF3"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 Be developed against National Standards for Adult Literacy and Numeracy</w:t>
      </w:r>
    </w:p>
    <w:p w14:paraId="43B7B732"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 Be designed to support those who cannot access FSQ / GCSE</w:t>
      </w:r>
    </w:p>
    <w:p w14:paraId="79FBE4E8"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Example:</w:t>
      </w:r>
    </w:p>
    <w:p w14:paraId="4F89A020"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An entry level or level 1 qualification in English or maths skills that builds confidence and ability for learners who need support to access an FSQ/GCSE.</w:t>
      </w:r>
    </w:p>
    <w:p w14:paraId="6DD0D19A" w14:textId="77777777" w:rsidR="00895D7D" w:rsidRDefault="00895D7D" w:rsidP="00895D7D">
      <w:pPr>
        <w:rPr>
          <w:rFonts w:ascii="Tahoma" w:hAnsi="Tahoma" w:cs="Tahoma"/>
          <w:i/>
          <w:iCs/>
          <w:sz w:val="23"/>
          <w:szCs w:val="23"/>
        </w:rPr>
      </w:pPr>
      <w:r>
        <w:rPr>
          <w:rFonts w:ascii="Tahoma" w:hAnsi="Tahoma" w:cs="Tahoma"/>
          <w:i/>
          <w:iCs/>
          <w:sz w:val="23"/>
          <w:szCs w:val="23"/>
        </w:rPr>
        <w:t>25. Do you agree we should remove funding at level 2 for non-GCSE/FSQ English qualifications?</w:t>
      </w:r>
    </w:p>
    <w:p w14:paraId="7F05E2F3" w14:textId="77777777" w:rsidR="00895D7D" w:rsidRDefault="00895D7D" w:rsidP="00895D7D">
      <w:pPr>
        <w:rPr>
          <w:rFonts w:ascii="Tahoma" w:hAnsi="Tahoma" w:cs="Tahoma"/>
          <w:b/>
          <w:bCs/>
          <w:sz w:val="23"/>
          <w:szCs w:val="23"/>
        </w:rPr>
      </w:pPr>
      <w:r>
        <w:rPr>
          <w:rFonts w:ascii="Tahoma" w:hAnsi="Tahoma" w:cs="Tahoma"/>
          <w:sz w:val="23"/>
          <w:szCs w:val="23"/>
        </w:rPr>
        <w:t xml:space="preserve"> </w:t>
      </w:r>
      <w:r>
        <w:rPr>
          <w:rFonts w:ascii="Tahoma" w:hAnsi="Tahoma" w:cs="Tahoma"/>
          <w:b/>
          <w:bCs/>
          <w:sz w:val="23"/>
          <w:szCs w:val="23"/>
        </w:rPr>
        <w:t>Yes</w:t>
      </w:r>
    </w:p>
    <w:p w14:paraId="00E5CFDA" w14:textId="77777777" w:rsidR="00895D7D" w:rsidRDefault="00895D7D" w:rsidP="00895D7D">
      <w:pPr>
        <w:rPr>
          <w:rFonts w:ascii="Tahoma" w:hAnsi="Tahoma" w:cs="Tahoma"/>
          <w:i/>
          <w:iCs/>
          <w:sz w:val="23"/>
          <w:szCs w:val="23"/>
        </w:rPr>
      </w:pPr>
      <w:r>
        <w:rPr>
          <w:rFonts w:ascii="Tahoma" w:hAnsi="Tahoma" w:cs="Tahoma"/>
          <w:i/>
          <w:iCs/>
          <w:sz w:val="23"/>
          <w:szCs w:val="23"/>
        </w:rPr>
        <w:t>Please give reasons for your answer</w:t>
      </w:r>
    </w:p>
    <w:p w14:paraId="0B638F80" w14:textId="77777777" w:rsidR="00895D7D" w:rsidRDefault="00895D7D" w:rsidP="00895D7D">
      <w:pPr>
        <w:rPr>
          <w:rFonts w:ascii="Tahoma" w:hAnsi="Tahoma" w:cs="Tahoma"/>
          <w:color w:val="000000" w:themeColor="text1"/>
          <w:sz w:val="23"/>
          <w:szCs w:val="23"/>
        </w:rPr>
      </w:pPr>
      <w:bookmarkStart w:id="17" w:name="_Hlk99967950"/>
      <w:r>
        <w:rPr>
          <w:rFonts w:ascii="Tahoma" w:hAnsi="Tahoma" w:cs="Tahoma"/>
          <w:color w:val="000000" w:themeColor="text1"/>
          <w:sz w:val="23"/>
          <w:szCs w:val="23"/>
        </w:rPr>
        <w:t xml:space="preserve">Currently there appears to be too much variation of what is available, and it is very confusing for learners, </w:t>
      </w:r>
      <w:proofErr w:type="gramStart"/>
      <w:r>
        <w:rPr>
          <w:rFonts w:ascii="Tahoma" w:hAnsi="Tahoma" w:cs="Tahoma"/>
          <w:color w:val="000000" w:themeColor="text1"/>
          <w:sz w:val="23"/>
          <w:szCs w:val="23"/>
        </w:rPr>
        <w:t>employers</w:t>
      </w:r>
      <w:proofErr w:type="gramEnd"/>
      <w:r>
        <w:rPr>
          <w:rFonts w:ascii="Tahoma" w:hAnsi="Tahoma" w:cs="Tahoma"/>
          <w:color w:val="000000" w:themeColor="text1"/>
          <w:sz w:val="23"/>
          <w:szCs w:val="23"/>
        </w:rPr>
        <w:t xml:space="preserve"> and providers to know what has been covered within the qualifications.  At this level it is better to have a broad general English qualification that demonstrates application of skill and knowledge rather than specialised bite sized components.  This will be more effective as a stepping stone to a higher level and more specialised qualification.</w:t>
      </w:r>
    </w:p>
    <w:bookmarkEnd w:id="17"/>
    <w:p w14:paraId="0584E8E9" w14:textId="77777777" w:rsidR="00895D7D" w:rsidRDefault="00895D7D" w:rsidP="00895D7D">
      <w:pPr>
        <w:rPr>
          <w:rFonts w:ascii="Tahoma" w:hAnsi="Tahoma" w:cs="Tahoma"/>
          <w:i/>
          <w:iCs/>
          <w:color w:val="000000" w:themeColor="text1"/>
          <w:sz w:val="23"/>
          <w:szCs w:val="23"/>
        </w:rPr>
      </w:pPr>
      <w:r>
        <w:rPr>
          <w:rFonts w:ascii="Tahoma" w:hAnsi="Tahoma" w:cs="Tahoma"/>
          <w:i/>
          <w:iCs/>
          <w:color w:val="000000" w:themeColor="text1"/>
          <w:sz w:val="23"/>
          <w:szCs w:val="23"/>
        </w:rPr>
        <w:t>Do you agree we should remove funding at level 2 for non-GCSE/FSQ maths qualifications?</w:t>
      </w:r>
    </w:p>
    <w:p w14:paraId="56E7F598" w14:textId="77777777" w:rsidR="00895D7D" w:rsidRDefault="00895D7D" w:rsidP="00895D7D">
      <w:pPr>
        <w:rPr>
          <w:rFonts w:ascii="Tahoma" w:hAnsi="Tahoma" w:cs="Tahoma"/>
          <w:b/>
          <w:bCs/>
          <w:color w:val="000000" w:themeColor="text1"/>
          <w:sz w:val="23"/>
          <w:szCs w:val="23"/>
        </w:rPr>
      </w:pPr>
      <w:r>
        <w:rPr>
          <w:rFonts w:ascii="Tahoma" w:hAnsi="Tahoma" w:cs="Tahoma"/>
          <w:color w:val="000000" w:themeColor="text1"/>
          <w:sz w:val="23"/>
          <w:szCs w:val="23"/>
        </w:rPr>
        <w:t xml:space="preserve"> </w:t>
      </w:r>
      <w:r>
        <w:rPr>
          <w:rFonts w:ascii="Tahoma" w:hAnsi="Tahoma" w:cs="Tahoma"/>
          <w:b/>
          <w:bCs/>
          <w:color w:val="000000" w:themeColor="text1"/>
          <w:sz w:val="23"/>
          <w:szCs w:val="23"/>
        </w:rPr>
        <w:t>Yes</w:t>
      </w:r>
    </w:p>
    <w:p w14:paraId="06BA88AD" w14:textId="77777777" w:rsidR="00895D7D" w:rsidRDefault="00895D7D" w:rsidP="00895D7D">
      <w:pPr>
        <w:rPr>
          <w:rFonts w:ascii="Tahoma" w:hAnsi="Tahoma" w:cs="Tahoma"/>
          <w:color w:val="000000" w:themeColor="text1"/>
          <w:sz w:val="23"/>
          <w:szCs w:val="23"/>
        </w:rPr>
      </w:pPr>
      <w:r>
        <w:rPr>
          <w:rFonts w:ascii="Tahoma" w:hAnsi="Tahoma" w:cs="Tahoma"/>
          <w:color w:val="000000" w:themeColor="text1"/>
          <w:sz w:val="23"/>
          <w:szCs w:val="23"/>
        </w:rPr>
        <w:t xml:space="preserve">Currently there appears to be too much variation of what is available, and it is very confusing for learners, </w:t>
      </w:r>
      <w:proofErr w:type="gramStart"/>
      <w:r>
        <w:rPr>
          <w:rFonts w:ascii="Tahoma" w:hAnsi="Tahoma" w:cs="Tahoma"/>
          <w:color w:val="000000" w:themeColor="text1"/>
          <w:sz w:val="23"/>
          <w:szCs w:val="23"/>
        </w:rPr>
        <w:t>employers</w:t>
      </w:r>
      <w:proofErr w:type="gramEnd"/>
      <w:r>
        <w:rPr>
          <w:rFonts w:ascii="Tahoma" w:hAnsi="Tahoma" w:cs="Tahoma"/>
          <w:color w:val="000000" w:themeColor="text1"/>
          <w:sz w:val="23"/>
          <w:szCs w:val="23"/>
        </w:rPr>
        <w:t xml:space="preserve"> and providers to know what has been covered within the qualifications.  At this level it is better to have a broad general maths qualification that demonstrates application of skill and knowledge rather than specialised bite sized components.  This will be more effective as a stepping stone to a higher level and more specialised qualification.</w:t>
      </w:r>
    </w:p>
    <w:p w14:paraId="3D1A1403" w14:textId="77777777" w:rsidR="00895D7D" w:rsidRDefault="00895D7D" w:rsidP="00895D7D">
      <w:pPr>
        <w:rPr>
          <w:rFonts w:ascii="Tahoma" w:hAnsi="Tahoma" w:cs="Tahoma"/>
          <w:i/>
          <w:iCs/>
          <w:color w:val="000000" w:themeColor="text1"/>
          <w:sz w:val="23"/>
          <w:szCs w:val="23"/>
        </w:rPr>
      </w:pPr>
      <w:r>
        <w:rPr>
          <w:rFonts w:ascii="Tahoma" w:hAnsi="Tahoma" w:cs="Tahoma"/>
          <w:i/>
          <w:iCs/>
          <w:color w:val="000000" w:themeColor="text1"/>
          <w:sz w:val="23"/>
          <w:szCs w:val="23"/>
        </w:rPr>
        <w:t>6. Do you agree we should continue to fund level 1 and entry level English qualifications for learners who cannot access FSQs/ GCSEs?</w:t>
      </w:r>
    </w:p>
    <w:p w14:paraId="2C7E95A7" w14:textId="77777777" w:rsidR="00895D7D" w:rsidRDefault="00895D7D" w:rsidP="00895D7D">
      <w:pPr>
        <w:rPr>
          <w:rFonts w:ascii="Tahoma" w:hAnsi="Tahoma" w:cs="Tahoma"/>
          <w:b/>
          <w:bCs/>
          <w:color w:val="000000" w:themeColor="text1"/>
          <w:sz w:val="23"/>
          <w:szCs w:val="23"/>
        </w:rPr>
      </w:pPr>
      <w:r>
        <w:rPr>
          <w:rFonts w:ascii="Tahoma" w:hAnsi="Tahoma" w:cs="Tahoma"/>
          <w:color w:val="000000" w:themeColor="text1"/>
          <w:sz w:val="23"/>
          <w:szCs w:val="23"/>
        </w:rPr>
        <w:t xml:space="preserve"> </w:t>
      </w:r>
      <w:r>
        <w:rPr>
          <w:rFonts w:ascii="Tahoma" w:hAnsi="Tahoma" w:cs="Tahoma"/>
          <w:b/>
          <w:bCs/>
          <w:color w:val="000000" w:themeColor="text1"/>
          <w:sz w:val="23"/>
          <w:szCs w:val="23"/>
        </w:rPr>
        <w:t>Yes</w:t>
      </w:r>
    </w:p>
    <w:p w14:paraId="211A1CDB" w14:textId="77777777" w:rsidR="00895D7D" w:rsidRDefault="00895D7D" w:rsidP="00895D7D">
      <w:pPr>
        <w:rPr>
          <w:rFonts w:ascii="Tahoma" w:hAnsi="Tahoma" w:cs="Tahoma"/>
          <w:color w:val="000000" w:themeColor="text1"/>
          <w:sz w:val="23"/>
          <w:szCs w:val="23"/>
        </w:rPr>
      </w:pPr>
      <w:bookmarkStart w:id="18" w:name="_Hlk99968282"/>
      <w:r>
        <w:rPr>
          <w:rFonts w:ascii="Tahoma" w:hAnsi="Tahoma" w:cs="Tahoma"/>
          <w:color w:val="000000" w:themeColor="text1"/>
          <w:sz w:val="23"/>
          <w:szCs w:val="23"/>
        </w:rPr>
        <w:t>There is a considerable need to build learners skills and confidence in their ability to undertake English qualifications for those who have struggled at school and have not managed to achieve an acceptable grade at GCSE.  Very often they need to undertake smaller, bite sized components to build their confidence in undertaking focussed tests to build towards a broader skill set that will enable them to achieve either FSQ or GCSEs in order to be successful as they progress onto an apprenticeship or a technical qualification.</w:t>
      </w:r>
    </w:p>
    <w:bookmarkEnd w:id="18"/>
    <w:p w14:paraId="01D1BD07" w14:textId="77777777" w:rsidR="00895D7D" w:rsidRDefault="00895D7D" w:rsidP="00895D7D">
      <w:pPr>
        <w:rPr>
          <w:rFonts w:ascii="Tahoma" w:hAnsi="Tahoma" w:cs="Tahoma"/>
          <w:i/>
          <w:iCs/>
          <w:color w:val="000000" w:themeColor="text1"/>
          <w:sz w:val="23"/>
          <w:szCs w:val="23"/>
        </w:rPr>
      </w:pPr>
      <w:r>
        <w:rPr>
          <w:rFonts w:ascii="Tahoma" w:hAnsi="Tahoma" w:cs="Tahoma"/>
          <w:i/>
          <w:iCs/>
          <w:color w:val="000000" w:themeColor="text1"/>
          <w:sz w:val="23"/>
          <w:szCs w:val="23"/>
        </w:rPr>
        <w:t>Do you agree that we should continue to fund level 1 and entry level maths qualifications for learners who cannot access FSQs/GCSEs?</w:t>
      </w:r>
    </w:p>
    <w:p w14:paraId="664D633F" w14:textId="77777777" w:rsidR="00895D7D" w:rsidRDefault="00895D7D" w:rsidP="00895D7D">
      <w:pPr>
        <w:rPr>
          <w:rFonts w:ascii="Tahoma" w:hAnsi="Tahoma" w:cs="Tahoma"/>
          <w:b/>
          <w:bCs/>
          <w:color w:val="000000" w:themeColor="text1"/>
          <w:sz w:val="23"/>
          <w:szCs w:val="23"/>
        </w:rPr>
      </w:pPr>
      <w:r>
        <w:rPr>
          <w:rFonts w:ascii="Tahoma" w:hAnsi="Tahoma" w:cs="Tahoma"/>
          <w:b/>
          <w:bCs/>
          <w:color w:val="000000" w:themeColor="text1"/>
          <w:sz w:val="23"/>
          <w:szCs w:val="23"/>
        </w:rPr>
        <w:t xml:space="preserve"> Yes</w:t>
      </w:r>
    </w:p>
    <w:p w14:paraId="17B1F039" w14:textId="77777777" w:rsidR="00895D7D" w:rsidRDefault="00895D7D" w:rsidP="00895D7D">
      <w:pPr>
        <w:rPr>
          <w:rFonts w:ascii="Tahoma" w:hAnsi="Tahoma" w:cs="Tahoma"/>
          <w:color w:val="000000" w:themeColor="text1"/>
          <w:sz w:val="23"/>
          <w:szCs w:val="23"/>
        </w:rPr>
      </w:pPr>
      <w:r>
        <w:rPr>
          <w:rFonts w:ascii="Tahoma" w:hAnsi="Tahoma" w:cs="Tahoma"/>
          <w:color w:val="000000" w:themeColor="text1"/>
          <w:sz w:val="23"/>
          <w:szCs w:val="23"/>
        </w:rPr>
        <w:t xml:space="preserve">There is a considerable need to build learners skills and confidence in their ability to undertake maths qualifications for those who have struggled at school and have not managed to achieve </w:t>
      </w:r>
      <w:r>
        <w:rPr>
          <w:rFonts w:ascii="Tahoma" w:hAnsi="Tahoma" w:cs="Tahoma"/>
          <w:color w:val="000000" w:themeColor="text1"/>
          <w:sz w:val="23"/>
          <w:szCs w:val="23"/>
        </w:rPr>
        <w:lastRenderedPageBreak/>
        <w:t>an acceptable grade at GCSE.  Very often they need to undertake smaller, bite sized components to build their confidence in undertaking focussed tests to build towards a broader skill set that will enable them to achieve either FSQ or GCSEs in order to be successful as they progress onto an apprenticeship or a technical qualification.</w:t>
      </w:r>
    </w:p>
    <w:p w14:paraId="20598962" w14:textId="77777777" w:rsidR="00895D7D" w:rsidRDefault="00895D7D" w:rsidP="00895D7D">
      <w:pPr>
        <w:rPr>
          <w:rFonts w:ascii="Tahoma" w:hAnsi="Tahoma" w:cs="Tahoma"/>
          <w:i/>
          <w:iCs/>
          <w:color w:val="000000" w:themeColor="text1"/>
          <w:sz w:val="23"/>
          <w:szCs w:val="23"/>
        </w:rPr>
      </w:pPr>
      <w:r>
        <w:rPr>
          <w:rFonts w:ascii="Tahoma" w:hAnsi="Tahoma" w:cs="Tahoma"/>
          <w:i/>
          <w:iCs/>
          <w:color w:val="000000" w:themeColor="text1"/>
          <w:sz w:val="23"/>
          <w:szCs w:val="23"/>
        </w:rPr>
        <w:t>27. Do you agree all non-GCSE/FSQ qualifications in English should be developed against the National Standards for Adult Literacy and Numeracy?</w:t>
      </w:r>
    </w:p>
    <w:p w14:paraId="25F843CD" w14:textId="77777777" w:rsidR="00895D7D" w:rsidRDefault="00895D7D" w:rsidP="00895D7D">
      <w:pPr>
        <w:rPr>
          <w:rFonts w:ascii="Tahoma" w:hAnsi="Tahoma" w:cs="Tahoma"/>
          <w:b/>
          <w:bCs/>
          <w:color w:val="000000" w:themeColor="text1"/>
          <w:sz w:val="23"/>
          <w:szCs w:val="23"/>
        </w:rPr>
      </w:pPr>
      <w:r>
        <w:rPr>
          <w:rFonts w:ascii="Tahoma" w:hAnsi="Tahoma" w:cs="Tahoma"/>
          <w:color w:val="000000" w:themeColor="text1"/>
          <w:sz w:val="23"/>
          <w:szCs w:val="23"/>
        </w:rPr>
        <w:t xml:space="preserve"> </w:t>
      </w:r>
      <w:r>
        <w:rPr>
          <w:rFonts w:ascii="Tahoma" w:hAnsi="Tahoma" w:cs="Tahoma"/>
          <w:b/>
          <w:bCs/>
          <w:color w:val="000000" w:themeColor="text1"/>
          <w:sz w:val="23"/>
          <w:szCs w:val="23"/>
        </w:rPr>
        <w:t>Yes</w:t>
      </w:r>
    </w:p>
    <w:p w14:paraId="07F3D420" w14:textId="77777777" w:rsidR="00895D7D" w:rsidRDefault="00895D7D" w:rsidP="00895D7D">
      <w:pPr>
        <w:rPr>
          <w:rFonts w:ascii="Tahoma" w:hAnsi="Tahoma" w:cs="Tahoma"/>
          <w:color w:val="000000" w:themeColor="text1"/>
          <w:sz w:val="23"/>
          <w:szCs w:val="23"/>
        </w:rPr>
      </w:pPr>
      <w:bookmarkStart w:id="19" w:name="_Hlk99968636"/>
      <w:r>
        <w:rPr>
          <w:rFonts w:ascii="Tahoma" w:hAnsi="Tahoma" w:cs="Tahoma"/>
          <w:color w:val="000000" w:themeColor="text1"/>
          <w:sz w:val="23"/>
          <w:szCs w:val="23"/>
        </w:rPr>
        <w:t xml:space="preserve">The National Standards provide a complete breakdown of the skills and understanding required in order for the learner to become an effective communicator.  Therefore, it </w:t>
      </w:r>
      <w:proofErr w:type="gramStart"/>
      <w:r>
        <w:rPr>
          <w:rFonts w:ascii="Tahoma" w:hAnsi="Tahoma" w:cs="Tahoma"/>
          <w:color w:val="000000" w:themeColor="text1"/>
          <w:sz w:val="23"/>
          <w:szCs w:val="23"/>
        </w:rPr>
        <w:t>would</w:t>
      </w:r>
      <w:proofErr w:type="gramEnd"/>
      <w:r>
        <w:rPr>
          <w:rFonts w:ascii="Tahoma" w:hAnsi="Tahoma" w:cs="Tahoma"/>
          <w:color w:val="000000" w:themeColor="text1"/>
          <w:sz w:val="23"/>
          <w:szCs w:val="23"/>
        </w:rPr>
        <w:t xml:space="preserve"> appear sensible to use that framework to develop suitable steppingstone components in order for a learner to be able to progress if they have the capability.  Whilst at the same time reducing the number of smaller qualifications that are available currently that do not align so well to the FSQ &amp; GCSE’s to effectively support progression.</w:t>
      </w:r>
    </w:p>
    <w:bookmarkEnd w:id="19"/>
    <w:p w14:paraId="301D8F04" w14:textId="77777777" w:rsidR="00895D7D" w:rsidRDefault="00895D7D" w:rsidP="00895D7D">
      <w:pPr>
        <w:rPr>
          <w:rFonts w:ascii="Tahoma" w:hAnsi="Tahoma" w:cs="Tahoma"/>
          <w:i/>
          <w:iCs/>
          <w:color w:val="000000" w:themeColor="text1"/>
          <w:sz w:val="23"/>
          <w:szCs w:val="23"/>
        </w:rPr>
      </w:pPr>
      <w:r>
        <w:rPr>
          <w:rFonts w:ascii="Tahoma" w:hAnsi="Tahoma" w:cs="Tahoma"/>
          <w:i/>
          <w:iCs/>
          <w:color w:val="000000" w:themeColor="text1"/>
          <w:sz w:val="23"/>
          <w:szCs w:val="23"/>
        </w:rPr>
        <w:t>Do you agree all non-GCSE/FSQ qualifications in maths should be developed against the National Standards for Adult Literacy and Numeracy?</w:t>
      </w:r>
    </w:p>
    <w:p w14:paraId="7904598D" w14:textId="77777777" w:rsidR="00895D7D" w:rsidRDefault="00895D7D" w:rsidP="00895D7D">
      <w:pPr>
        <w:rPr>
          <w:rFonts w:ascii="Tahoma" w:hAnsi="Tahoma" w:cs="Tahoma"/>
          <w:color w:val="000000" w:themeColor="text1"/>
          <w:sz w:val="23"/>
          <w:szCs w:val="23"/>
        </w:rPr>
      </w:pPr>
    </w:p>
    <w:p w14:paraId="36EC72E7" w14:textId="77777777" w:rsidR="00895D7D" w:rsidRDefault="00895D7D" w:rsidP="00895D7D">
      <w:pPr>
        <w:rPr>
          <w:rFonts w:ascii="Tahoma" w:hAnsi="Tahoma" w:cs="Tahoma"/>
          <w:b/>
          <w:bCs/>
          <w:color w:val="000000" w:themeColor="text1"/>
          <w:sz w:val="23"/>
          <w:szCs w:val="23"/>
        </w:rPr>
      </w:pPr>
      <w:r>
        <w:rPr>
          <w:rFonts w:ascii="Tahoma" w:hAnsi="Tahoma" w:cs="Tahoma"/>
          <w:color w:val="000000" w:themeColor="text1"/>
          <w:sz w:val="23"/>
          <w:szCs w:val="23"/>
        </w:rPr>
        <w:t xml:space="preserve"> </w:t>
      </w:r>
      <w:r>
        <w:rPr>
          <w:rFonts w:ascii="Tahoma" w:hAnsi="Tahoma" w:cs="Tahoma"/>
          <w:b/>
          <w:bCs/>
          <w:color w:val="000000" w:themeColor="text1"/>
          <w:sz w:val="23"/>
          <w:szCs w:val="23"/>
        </w:rPr>
        <w:t>Yes</w:t>
      </w:r>
    </w:p>
    <w:p w14:paraId="46519098" w14:textId="77777777" w:rsidR="00895D7D" w:rsidRDefault="00895D7D" w:rsidP="00895D7D">
      <w:pPr>
        <w:rPr>
          <w:rFonts w:ascii="Tahoma" w:hAnsi="Tahoma" w:cs="Tahoma"/>
          <w:color w:val="000000" w:themeColor="text1"/>
          <w:sz w:val="23"/>
          <w:szCs w:val="23"/>
        </w:rPr>
      </w:pPr>
      <w:r>
        <w:rPr>
          <w:rFonts w:ascii="Tahoma" w:hAnsi="Tahoma" w:cs="Tahoma"/>
          <w:color w:val="000000" w:themeColor="text1"/>
          <w:sz w:val="23"/>
          <w:szCs w:val="23"/>
        </w:rPr>
        <w:t xml:space="preserve">The National Standards provide a complete breakdown of the skills and understanding required in order for the learner to become an effective communicator.  Therefore, it </w:t>
      </w:r>
      <w:proofErr w:type="gramStart"/>
      <w:r>
        <w:rPr>
          <w:rFonts w:ascii="Tahoma" w:hAnsi="Tahoma" w:cs="Tahoma"/>
          <w:color w:val="000000" w:themeColor="text1"/>
          <w:sz w:val="23"/>
          <w:szCs w:val="23"/>
        </w:rPr>
        <w:t>would</w:t>
      </w:r>
      <w:proofErr w:type="gramEnd"/>
      <w:r>
        <w:rPr>
          <w:rFonts w:ascii="Tahoma" w:hAnsi="Tahoma" w:cs="Tahoma"/>
          <w:color w:val="000000" w:themeColor="text1"/>
          <w:sz w:val="23"/>
          <w:szCs w:val="23"/>
        </w:rPr>
        <w:t xml:space="preserve"> appear sensible to use that framework to develop suitable steppingstone components in order for a learner to be able to progress if they have the capability.  Whilst at the same time reducing the number of smaller qualifications that are available currently that do not align so well to the FSQ &amp; GCSE’s to effectively support progression.</w:t>
      </w:r>
    </w:p>
    <w:p w14:paraId="4224FA33" w14:textId="77777777" w:rsidR="00895D7D" w:rsidRDefault="00895D7D" w:rsidP="00895D7D">
      <w:pPr>
        <w:rPr>
          <w:rFonts w:ascii="Tahoma" w:hAnsi="Tahoma" w:cs="Tahoma"/>
          <w:i/>
          <w:iCs/>
          <w:color w:val="000000" w:themeColor="text1"/>
          <w:sz w:val="23"/>
          <w:szCs w:val="23"/>
        </w:rPr>
      </w:pPr>
      <w:r>
        <w:rPr>
          <w:rFonts w:ascii="Tahoma" w:hAnsi="Tahoma" w:cs="Tahoma"/>
          <w:i/>
          <w:iCs/>
          <w:color w:val="000000" w:themeColor="text1"/>
          <w:sz w:val="23"/>
          <w:szCs w:val="23"/>
        </w:rPr>
        <w:t>28. Do you agree that we should consider updating the National Standards for Adult Literacy and Numeracy before adding them to the regulation criteria?</w:t>
      </w:r>
    </w:p>
    <w:p w14:paraId="1F9F4E58" w14:textId="77777777" w:rsidR="00895D7D" w:rsidRDefault="00895D7D" w:rsidP="00895D7D">
      <w:pPr>
        <w:rPr>
          <w:rFonts w:ascii="Tahoma" w:hAnsi="Tahoma" w:cs="Tahoma"/>
          <w:b/>
          <w:bCs/>
          <w:color w:val="000000" w:themeColor="text1"/>
          <w:sz w:val="23"/>
          <w:szCs w:val="23"/>
        </w:rPr>
      </w:pPr>
      <w:r>
        <w:rPr>
          <w:rFonts w:ascii="Tahoma" w:hAnsi="Tahoma" w:cs="Tahoma"/>
          <w:color w:val="000000" w:themeColor="text1"/>
          <w:sz w:val="23"/>
          <w:szCs w:val="23"/>
        </w:rPr>
        <w:t xml:space="preserve"> </w:t>
      </w:r>
      <w:r>
        <w:rPr>
          <w:rFonts w:ascii="Tahoma" w:hAnsi="Tahoma" w:cs="Tahoma"/>
          <w:b/>
          <w:bCs/>
          <w:color w:val="000000" w:themeColor="text1"/>
          <w:sz w:val="23"/>
          <w:szCs w:val="23"/>
        </w:rPr>
        <w:t>Yes</w:t>
      </w:r>
    </w:p>
    <w:p w14:paraId="72F4E1A1" w14:textId="75652F88" w:rsidR="00895D7D" w:rsidRDefault="00895D7D" w:rsidP="00895D7D">
      <w:pPr>
        <w:rPr>
          <w:rFonts w:ascii="Tahoma" w:hAnsi="Tahoma" w:cs="Tahoma"/>
          <w:color w:val="000000" w:themeColor="text1"/>
          <w:sz w:val="23"/>
          <w:szCs w:val="23"/>
        </w:rPr>
      </w:pPr>
      <w:r>
        <w:rPr>
          <w:rFonts w:ascii="Tahoma" w:hAnsi="Tahoma" w:cs="Tahoma"/>
          <w:color w:val="000000" w:themeColor="text1"/>
          <w:sz w:val="23"/>
          <w:szCs w:val="23"/>
        </w:rPr>
        <w:t>To ensure they align accurately to the National Curriculum as is appropriate for life and work skills required for 2022</w:t>
      </w:r>
    </w:p>
    <w:p w14:paraId="45DD5CC8" w14:textId="77777777" w:rsidR="00170AB8" w:rsidRDefault="00170AB8" w:rsidP="00895D7D">
      <w:pPr>
        <w:rPr>
          <w:rFonts w:ascii="Tahoma" w:hAnsi="Tahoma" w:cs="Tahoma"/>
          <w:color w:val="000000" w:themeColor="text1"/>
          <w:sz w:val="23"/>
          <w:szCs w:val="23"/>
        </w:rPr>
      </w:pPr>
    </w:p>
    <w:p w14:paraId="3780C7F6" w14:textId="77777777" w:rsidR="00895D7D" w:rsidRDefault="00895D7D" w:rsidP="00895D7D">
      <w:pPr>
        <w:pStyle w:val="Heading1"/>
      </w:pPr>
      <w:bookmarkStart w:id="20" w:name="_Toc99562960"/>
      <w:r>
        <w:t>Groups 8, 13 and 17: ESOL (English for Speakers of Other Languages) qualifications</w:t>
      </w:r>
      <w:bookmarkEnd w:id="20"/>
    </w:p>
    <w:p w14:paraId="6284068D"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We propose to continue to fund high-quality ESOL qualifications at level 2 (group 8), level 1 (group 13) and entry levels 1,2 and 3 (group 17). Qualifications named ESOL Skills for Life are in scope of this review. ESOL International qualifications are out of scope.</w:t>
      </w:r>
    </w:p>
    <w:p w14:paraId="7DFC356C"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To be in scope for funding these qualifications must:</w:t>
      </w:r>
    </w:p>
    <w:p w14:paraId="4F9A6725"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Continue to meet the requirements of the National Standards for Adult Literacy.</w:t>
      </w:r>
    </w:p>
    <w:p w14:paraId="7173DA78"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Example:</w:t>
      </w:r>
    </w:p>
    <w:p w14:paraId="04911A3E"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 xml:space="preserve">Qualifications in reading, writing, </w:t>
      </w:r>
      <w:proofErr w:type="gramStart"/>
      <w:r>
        <w:rPr>
          <w:rFonts w:ascii="Tahoma" w:hAnsi="Tahoma" w:cs="Tahoma"/>
          <w:sz w:val="23"/>
          <w:szCs w:val="23"/>
        </w:rPr>
        <w:t>speaking</w:t>
      </w:r>
      <w:proofErr w:type="gramEnd"/>
      <w:r>
        <w:rPr>
          <w:rFonts w:ascii="Tahoma" w:hAnsi="Tahoma" w:cs="Tahoma"/>
          <w:sz w:val="23"/>
          <w:szCs w:val="23"/>
        </w:rPr>
        <w:t xml:space="preserve"> and listening, designed to support speakers of other languages within the UK to develop their English language skills for work, further learning or everyday life.</w:t>
      </w:r>
    </w:p>
    <w:p w14:paraId="4DA87EAF" w14:textId="77777777" w:rsidR="00895D7D" w:rsidRDefault="00895D7D" w:rsidP="00895D7D">
      <w:pPr>
        <w:rPr>
          <w:rFonts w:ascii="Tahoma" w:hAnsi="Tahoma" w:cs="Tahoma"/>
          <w:i/>
          <w:iCs/>
          <w:sz w:val="23"/>
          <w:szCs w:val="23"/>
        </w:rPr>
      </w:pPr>
      <w:r>
        <w:rPr>
          <w:rFonts w:ascii="Tahoma" w:hAnsi="Tahoma" w:cs="Tahoma"/>
          <w:i/>
          <w:iCs/>
          <w:sz w:val="23"/>
          <w:szCs w:val="23"/>
        </w:rPr>
        <w:lastRenderedPageBreak/>
        <w:t>29. Do you agree that we should continue to fund ESOL qualifications at each of the following levels:</w:t>
      </w:r>
    </w:p>
    <w:tbl>
      <w:tblPr>
        <w:tblStyle w:val="TableGrid"/>
        <w:tblW w:w="0" w:type="auto"/>
        <w:tblLook w:val="04A0" w:firstRow="1" w:lastRow="0" w:firstColumn="1" w:lastColumn="0" w:noHBand="0" w:noVBand="1"/>
      </w:tblPr>
      <w:tblGrid>
        <w:gridCol w:w="7508"/>
        <w:gridCol w:w="573"/>
        <w:gridCol w:w="941"/>
      </w:tblGrid>
      <w:tr w:rsidR="00895D7D" w14:paraId="5F0CA305" w14:textId="77777777" w:rsidTr="00895D7D">
        <w:tc>
          <w:tcPr>
            <w:tcW w:w="7508" w:type="dxa"/>
            <w:tcBorders>
              <w:top w:val="single" w:sz="4" w:space="0" w:color="auto"/>
              <w:left w:val="single" w:sz="4" w:space="0" w:color="auto"/>
              <w:bottom w:val="single" w:sz="4" w:space="0" w:color="auto"/>
              <w:right w:val="single" w:sz="4" w:space="0" w:color="auto"/>
            </w:tcBorders>
          </w:tcPr>
          <w:p w14:paraId="5410E853" w14:textId="77777777" w:rsidR="00895D7D" w:rsidRDefault="00895D7D">
            <w:pPr>
              <w:rPr>
                <w:rFonts w:ascii="Tahoma" w:hAnsi="Tahoma" w:cs="Tahoma"/>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14:paraId="27AD8F72" w14:textId="77777777" w:rsidR="00895D7D" w:rsidRDefault="00895D7D">
            <w:pPr>
              <w:rPr>
                <w:rFonts w:ascii="Tahoma" w:hAnsi="Tahoma" w:cs="Tahoma"/>
                <w:sz w:val="23"/>
                <w:szCs w:val="23"/>
              </w:rPr>
            </w:pPr>
            <w:r>
              <w:rPr>
                <w:rFonts w:ascii="Tahoma" w:hAnsi="Tahoma" w:cs="Tahoma"/>
                <w:sz w:val="23"/>
                <w:szCs w:val="23"/>
              </w:rPr>
              <w:t>Yes</w:t>
            </w:r>
          </w:p>
        </w:tc>
        <w:tc>
          <w:tcPr>
            <w:tcW w:w="941" w:type="dxa"/>
            <w:tcBorders>
              <w:top w:val="single" w:sz="4" w:space="0" w:color="auto"/>
              <w:left w:val="single" w:sz="4" w:space="0" w:color="auto"/>
              <w:bottom w:val="single" w:sz="4" w:space="0" w:color="auto"/>
              <w:right w:val="single" w:sz="4" w:space="0" w:color="auto"/>
            </w:tcBorders>
            <w:hideMark/>
          </w:tcPr>
          <w:p w14:paraId="4864D358" w14:textId="77777777" w:rsidR="00895D7D" w:rsidRDefault="00895D7D">
            <w:pPr>
              <w:rPr>
                <w:rFonts w:ascii="Tahoma" w:hAnsi="Tahoma" w:cs="Tahoma"/>
                <w:sz w:val="23"/>
                <w:szCs w:val="23"/>
              </w:rPr>
            </w:pPr>
            <w:r>
              <w:rPr>
                <w:rFonts w:ascii="Tahoma" w:hAnsi="Tahoma" w:cs="Tahoma"/>
                <w:sz w:val="23"/>
                <w:szCs w:val="23"/>
              </w:rPr>
              <w:t>No</w:t>
            </w:r>
          </w:p>
        </w:tc>
      </w:tr>
      <w:tr w:rsidR="00895D7D" w14:paraId="7A993BCA"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02D6DEAC" w14:textId="77777777" w:rsidR="00895D7D" w:rsidRDefault="00895D7D">
            <w:pPr>
              <w:rPr>
                <w:rFonts w:ascii="Tahoma" w:hAnsi="Tahoma" w:cs="Tahoma"/>
                <w:sz w:val="23"/>
                <w:szCs w:val="23"/>
              </w:rPr>
            </w:pPr>
            <w:r>
              <w:rPr>
                <w:rFonts w:ascii="Tahoma" w:hAnsi="Tahoma" w:cs="Tahoma"/>
                <w:sz w:val="23"/>
                <w:szCs w:val="23"/>
              </w:rPr>
              <w:t>Level 2</w:t>
            </w:r>
          </w:p>
        </w:tc>
        <w:tc>
          <w:tcPr>
            <w:tcW w:w="567" w:type="dxa"/>
            <w:tcBorders>
              <w:top w:val="single" w:sz="4" w:space="0" w:color="auto"/>
              <w:left w:val="single" w:sz="4" w:space="0" w:color="auto"/>
              <w:bottom w:val="single" w:sz="4" w:space="0" w:color="auto"/>
              <w:right w:val="single" w:sz="4" w:space="0" w:color="auto"/>
            </w:tcBorders>
            <w:hideMark/>
          </w:tcPr>
          <w:p w14:paraId="08291686"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2B51C257" w14:textId="77777777" w:rsidR="00895D7D" w:rsidRDefault="00895D7D">
            <w:pPr>
              <w:rPr>
                <w:rFonts w:ascii="Tahoma" w:hAnsi="Tahoma" w:cs="Tahoma"/>
                <w:sz w:val="23"/>
                <w:szCs w:val="23"/>
              </w:rPr>
            </w:pPr>
          </w:p>
        </w:tc>
      </w:tr>
      <w:tr w:rsidR="00895D7D" w14:paraId="0A015E24"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6397AE2D" w14:textId="77777777" w:rsidR="00895D7D" w:rsidRDefault="00895D7D">
            <w:pPr>
              <w:rPr>
                <w:rFonts w:ascii="Tahoma" w:hAnsi="Tahoma" w:cs="Tahoma"/>
                <w:sz w:val="23"/>
                <w:szCs w:val="23"/>
              </w:rPr>
            </w:pPr>
            <w:r>
              <w:rPr>
                <w:rFonts w:ascii="Tahoma" w:hAnsi="Tahoma" w:cs="Tahoma"/>
                <w:sz w:val="23"/>
                <w:szCs w:val="23"/>
              </w:rPr>
              <w:t>Level 1</w:t>
            </w:r>
          </w:p>
        </w:tc>
        <w:tc>
          <w:tcPr>
            <w:tcW w:w="567" w:type="dxa"/>
            <w:tcBorders>
              <w:top w:val="single" w:sz="4" w:space="0" w:color="auto"/>
              <w:left w:val="single" w:sz="4" w:space="0" w:color="auto"/>
              <w:bottom w:val="single" w:sz="4" w:space="0" w:color="auto"/>
              <w:right w:val="single" w:sz="4" w:space="0" w:color="auto"/>
            </w:tcBorders>
            <w:hideMark/>
          </w:tcPr>
          <w:p w14:paraId="4D01EB42"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5DAB26EE" w14:textId="77777777" w:rsidR="00895D7D" w:rsidRDefault="00895D7D">
            <w:pPr>
              <w:rPr>
                <w:rFonts w:ascii="Tahoma" w:hAnsi="Tahoma" w:cs="Tahoma"/>
                <w:sz w:val="23"/>
                <w:szCs w:val="23"/>
              </w:rPr>
            </w:pPr>
          </w:p>
        </w:tc>
      </w:tr>
      <w:tr w:rsidR="00895D7D" w14:paraId="12ED46BC"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71855135" w14:textId="77777777" w:rsidR="00895D7D" w:rsidRDefault="00895D7D">
            <w:pPr>
              <w:rPr>
                <w:rFonts w:ascii="Tahoma" w:hAnsi="Tahoma" w:cs="Tahoma"/>
                <w:sz w:val="23"/>
                <w:szCs w:val="23"/>
              </w:rPr>
            </w:pPr>
            <w:r>
              <w:rPr>
                <w:rFonts w:ascii="Tahoma" w:hAnsi="Tahoma" w:cs="Tahoma"/>
                <w:sz w:val="23"/>
                <w:szCs w:val="23"/>
              </w:rPr>
              <w:t>Entry level (including sub levels 1, 2 and 3)</w:t>
            </w:r>
          </w:p>
        </w:tc>
        <w:tc>
          <w:tcPr>
            <w:tcW w:w="567" w:type="dxa"/>
            <w:tcBorders>
              <w:top w:val="single" w:sz="4" w:space="0" w:color="auto"/>
              <w:left w:val="single" w:sz="4" w:space="0" w:color="auto"/>
              <w:bottom w:val="single" w:sz="4" w:space="0" w:color="auto"/>
              <w:right w:val="single" w:sz="4" w:space="0" w:color="auto"/>
            </w:tcBorders>
            <w:hideMark/>
          </w:tcPr>
          <w:p w14:paraId="22895F0F"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0B107F38" w14:textId="77777777" w:rsidR="00895D7D" w:rsidRDefault="00895D7D">
            <w:pPr>
              <w:rPr>
                <w:rFonts w:ascii="Tahoma" w:hAnsi="Tahoma" w:cs="Tahoma"/>
                <w:sz w:val="23"/>
                <w:szCs w:val="23"/>
              </w:rPr>
            </w:pPr>
          </w:p>
        </w:tc>
      </w:tr>
    </w:tbl>
    <w:p w14:paraId="33BF6766" w14:textId="77777777" w:rsidR="00895D7D" w:rsidRDefault="00895D7D" w:rsidP="00895D7D">
      <w:pPr>
        <w:rPr>
          <w:rFonts w:ascii="Tahoma" w:hAnsi="Tahoma" w:cs="Tahoma"/>
          <w:sz w:val="23"/>
          <w:szCs w:val="23"/>
        </w:rPr>
      </w:pPr>
    </w:p>
    <w:p w14:paraId="50EE8A5F" w14:textId="77777777" w:rsidR="00895D7D" w:rsidRDefault="00895D7D" w:rsidP="00895D7D">
      <w:pPr>
        <w:rPr>
          <w:rFonts w:ascii="Tahoma" w:hAnsi="Tahoma" w:cs="Tahoma"/>
          <w:i/>
          <w:iCs/>
          <w:sz w:val="23"/>
          <w:szCs w:val="23"/>
        </w:rPr>
      </w:pPr>
      <w:r>
        <w:rPr>
          <w:rFonts w:ascii="Tahoma" w:hAnsi="Tahoma" w:cs="Tahoma"/>
          <w:i/>
          <w:iCs/>
          <w:sz w:val="23"/>
          <w:szCs w:val="23"/>
        </w:rPr>
        <w:t>Please give reasons for your answer</w:t>
      </w:r>
    </w:p>
    <w:p w14:paraId="6A3F41F0" w14:textId="77777777" w:rsidR="00895D7D" w:rsidRDefault="00895D7D" w:rsidP="00895D7D">
      <w:pPr>
        <w:rPr>
          <w:rFonts w:ascii="Tahoma" w:hAnsi="Tahoma" w:cs="Tahoma"/>
          <w:sz w:val="23"/>
          <w:szCs w:val="23"/>
        </w:rPr>
      </w:pPr>
      <w:r>
        <w:rPr>
          <w:rFonts w:ascii="Tahoma" w:hAnsi="Tahoma" w:cs="Tahoma"/>
          <w:sz w:val="23"/>
          <w:szCs w:val="23"/>
        </w:rPr>
        <w:t>There is potentially a huge market to tap into around immigration and those that get their ‘right to stay’, once they have this, they can start looking for work, but may not have very good English. This shouldn’t be a barrier to employment.</w:t>
      </w:r>
    </w:p>
    <w:p w14:paraId="17D195D1" w14:textId="77777777" w:rsidR="00895D7D" w:rsidRDefault="00895D7D" w:rsidP="00895D7D">
      <w:pPr>
        <w:pStyle w:val="Heading1"/>
      </w:pPr>
      <w:bookmarkStart w:id="21" w:name="_Toc99562961"/>
      <w:r>
        <w:t>Personal, Social and Employability (PSE) qualifications</w:t>
      </w:r>
      <w:bookmarkEnd w:id="21"/>
    </w:p>
    <w:p w14:paraId="5E6D2F8B"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Standards will be developed for qualifications that deliver:</w:t>
      </w:r>
    </w:p>
    <w:p w14:paraId="1DC5BF51"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Personal and Social Development</w:t>
      </w:r>
    </w:p>
    <w:p w14:paraId="46493568"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We anticipate this standard would include content designed to improve a student’s communication and interpersonal skills, develop confidence and resilience, prepare them for further study and progression, and prepare them to engage with the local community and wider society.</w:t>
      </w:r>
    </w:p>
    <w:p w14:paraId="0192AC5A"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Employability Skills</w:t>
      </w:r>
    </w:p>
    <w:p w14:paraId="72EABCCD"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We anticipate this standard would include content designed to prepare a student to find and secure employment, such as job searches, CV writing and interview skills, and to teach the essential skills for the work environment, such as workplace communications, teamwork and problem solving, health and safety at work, and employee rights and responsibilities.</w:t>
      </w:r>
    </w:p>
    <w:p w14:paraId="325A08F3"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Independent Living and Life Skills</w:t>
      </w:r>
    </w:p>
    <w:p w14:paraId="431616B0" w14:textId="77777777" w:rsidR="00895D7D" w:rsidRDefault="00895D7D" w:rsidP="00895D7D">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sz w:val="23"/>
          <w:szCs w:val="23"/>
        </w:rPr>
      </w:pPr>
      <w:r>
        <w:rPr>
          <w:rFonts w:ascii="Tahoma" w:hAnsi="Tahoma" w:cs="Tahoma"/>
          <w:sz w:val="23"/>
          <w:szCs w:val="23"/>
        </w:rPr>
        <w:t>We anticipate this standard would include content designed to prepare a student for adulthood and independent living, such as managing physical and mental health, relationships, maintaining a home, tenant rights and responsibilities, independent travel skills, and financial management skills.</w:t>
      </w:r>
    </w:p>
    <w:p w14:paraId="4171318F" w14:textId="77777777" w:rsidR="00895D7D" w:rsidRDefault="00895D7D" w:rsidP="00895D7D">
      <w:pPr>
        <w:rPr>
          <w:rFonts w:ascii="Tahoma" w:hAnsi="Tahoma" w:cs="Tahoma"/>
          <w:i/>
          <w:iCs/>
          <w:sz w:val="23"/>
          <w:szCs w:val="23"/>
        </w:rPr>
      </w:pPr>
      <w:r>
        <w:rPr>
          <w:rFonts w:ascii="Tahoma" w:hAnsi="Tahoma" w:cs="Tahoma"/>
          <w:i/>
          <w:iCs/>
          <w:sz w:val="23"/>
          <w:szCs w:val="23"/>
        </w:rPr>
        <w:t>30. Do you agree that we should develop national standards and set broad core content at level 1 for:</w:t>
      </w:r>
    </w:p>
    <w:tbl>
      <w:tblPr>
        <w:tblStyle w:val="TableGrid"/>
        <w:tblW w:w="0" w:type="auto"/>
        <w:tblLook w:val="04A0" w:firstRow="1" w:lastRow="0" w:firstColumn="1" w:lastColumn="0" w:noHBand="0" w:noVBand="1"/>
      </w:tblPr>
      <w:tblGrid>
        <w:gridCol w:w="7508"/>
        <w:gridCol w:w="573"/>
        <w:gridCol w:w="941"/>
      </w:tblGrid>
      <w:tr w:rsidR="00895D7D" w14:paraId="796E1588" w14:textId="77777777" w:rsidTr="00895D7D">
        <w:tc>
          <w:tcPr>
            <w:tcW w:w="7508" w:type="dxa"/>
            <w:tcBorders>
              <w:top w:val="single" w:sz="4" w:space="0" w:color="auto"/>
              <w:left w:val="single" w:sz="4" w:space="0" w:color="auto"/>
              <w:bottom w:val="single" w:sz="4" w:space="0" w:color="auto"/>
              <w:right w:val="single" w:sz="4" w:space="0" w:color="auto"/>
            </w:tcBorders>
          </w:tcPr>
          <w:p w14:paraId="2E8709B3" w14:textId="77777777" w:rsidR="00895D7D" w:rsidRDefault="00895D7D">
            <w:pPr>
              <w:rPr>
                <w:rFonts w:ascii="Tahoma" w:hAnsi="Tahoma" w:cs="Tahoma"/>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14:paraId="0D8BEE33" w14:textId="77777777" w:rsidR="00895D7D" w:rsidRDefault="00895D7D">
            <w:pPr>
              <w:rPr>
                <w:rFonts w:ascii="Tahoma" w:hAnsi="Tahoma" w:cs="Tahoma"/>
                <w:sz w:val="23"/>
                <w:szCs w:val="23"/>
              </w:rPr>
            </w:pPr>
            <w:r>
              <w:rPr>
                <w:rFonts w:ascii="Tahoma" w:hAnsi="Tahoma" w:cs="Tahoma"/>
                <w:sz w:val="23"/>
                <w:szCs w:val="23"/>
              </w:rPr>
              <w:t>Yes</w:t>
            </w:r>
          </w:p>
        </w:tc>
        <w:tc>
          <w:tcPr>
            <w:tcW w:w="941" w:type="dxa"/>
            <w:tcBorders>
              <w:top w:val="single" w:sz="4" w:space="0" w:color="auto"/>
              <w:left w:val="single" w:sz="4" w:space="0" w:color="auto"/>
              <w:bottom w:val="single" w:sz="4" w:space="0" w:color="auto"/>
              <w:right w:val="single" w:sz="4" w:space="0" w:color="auto"/>
            </w:tcBorders>
            <w:hideMark/>
          </w:tcPr>
          <w:p w14:paraId="4C3DC9A8" w14:textId="77777777" w:rsidR="00895D7D" w:rsidRDefault="00895D7D">
            <w:pPr>
              <w:rPr>
                <w:rFonts w:ascii="Tahoma" w:hAnsi="Tahoma" w:cs="Tahoma"/>
                <w:sz w:val="23"/>
                <w:szCs w:val="23"/>
              </w:rPr>
            </w:pPr>
            <w:r>
              <w:rPr>
                <w:rFonts w:ascii="Tahoma" w:hAnsi="Tahoma" w:cs="Tahoma"/>
                <w:sz w:val="23"/>
                <w:szCs w:val="23"/>
              </w:rPr>
              <w:t>No</w:t>
            </w:r>
          </w:p>
        </w:tc>
      </w:tr>
      <w:tr w:rsidR="00895D7D" w14:paraId="22A5A940"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0F3D0B01" w14:textId="77777777" w:rsidR="00895D7D" w:rsidRDefault="00895D7D">
            <w:pPr>
              <w:rPr>
                <w:rFonts w:ascii="Tahoma" w:hAnsi="Tahoma" w:cs="Tahoma"/>
                <w:sz w:val="23"/>
                <w:szCs w:val="23"/>
              </w:rPr>
            </w:pPr>
            <w:r>
              <w:rPr>
                <w:rFonts w:ascii="Tahoma" w:hAnsi="Tahoma" w:cs="Tahoma"/>
                <w:sz w:val="23"/>
                <w:szCs w:val="23"/>
              </w:rPr>
              <w:t>Personal and social development</w:t>
            </w:r>
          </w:p>
        </w:tc>
        <w:tc>
          <w:tcPr>
            <w:tcW w:w="567" w:type="dxa"/>
            <w:tcBorders>
              <w:top w:val="single" w:sz="4" w:space="0" w:color="auto"/>
              <w:left w:val="single" w:sz="4" w:space="0" w:color="auto"/>
              <w:bottom w:val="single" w:sz="4" w:space="0" w:color="auto"/>
              <w:right w:val="single" w:sz="4" w:space="0" w:color="auto"/>
            </w:tcBorders>
            <w:hideMark/>
          </w:tcPr>
          <w:p w14:paraId="33DBDDEF"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14DDF8FC" w14:textId="77777777" w:rsidR="00895D7D" w:rsidRDefault="00895D7D">
            <w:pPr>
              <w:rPr>
                <w:rFonts w:ascii="Tahoma" w:hAnsi="Tahoma" w:cs="Tahoma"/>
                <w:sz w:val="23"/>
                <w:szCs w:val="23"/>
              </w:rPr>
            </w:pPr>
          </w:p>
        </w:tc>
      </w:tr>
      <w:tr w:rsidR="00895D7D" w14:paraId="09AFEFC0"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485ABD96" w14:textId="77777777" w:rsidR="00895D7D" w:rsidRDefault="00895D7D">
            <w:pPr>
              <w:rPr>
                <w:rFonts w:ascii="Tahoma" w:hAnsi="Tahoma" w:cs="Tahoma"/>
                <w:sz w:val="23"/>
                <w:szCs w:val="23"/>
              </w:rPr>
            </w:pPr>
            <w:r>
              <w:rPr>
                <w:rFonts w:ascii="Tahoma" w:hAnsi="Tahoma" w:cs="Tahoma"/>
                <w:sz w:val="23"/>
                <w:szCs w:val="23"/>
              </w:rPr>
              <w:t>Employability skills</w:t>
            </w:r>
          </w:p>
        </w:tc>
        <w:tc>
          <w:tcPr>
            <w:tcW w:w="567" w:type="dxa"/>
            <w:tcBorders>
              <w:top w:val="single" w:sz="4" w:space="0" w:color="auto"/>
              <w:left w:val="single" w:sz="4" w:space="0" w:color="auto"/>
              <w:bottom w:val="single" w:sz="4" w:space="0" w:color="auto"/>
              <w:right w:val="single" w:sz="4" w:space="0" w:color="auto"/>
            </w:tcBorders>
            <w:hideMark/>
          </w:tcPr>
          <w:p w14:paraId="5C280C51"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076D5DB0" w14:textId="77777777" w:rsidR="00895D7D" w:rsidRDefault="00895D7D">
            <w:pPr>
              <w:rPr>
                <w:rFonts w:ascii="Tahoma" w:hAnsi="Tahoma" w:cs="Tahoma"/>
                <w:sz w:val="23"/>
                <w:szCs w:val="23"/>
              </w:rPr>
            </w:pPr>
          </w:p>
        </w:tc>
      </w:tr>
      <w:tr w:rsidR="00895D7D" w14:paraId="2AEEF497"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3D8D3ED0" w14:textId="77777777" w:rsidR="00895D7D" w:rsidRDefault="00895D7D">
            <w:pPr>
              <w:rPr>
                <w:rFonts w:ascii="Tahoma" w:hAnsi="Tahoma" w:cs="Tahoma"/>
                <w:sz w:val="23"/>
                <w:szCs w:val="23"/>
              </w:rPr>
            </w:pPr>
            <w:r>
              <w:rPr>
                <w:rFonts w:ascii="Tahoma" w:hAnsi="Tahoma" w:cs="Tahoma"/>
                <w:sz w:val="23"/>
                <w:szCs w:val="23"/>
              </w:rPr>
              <w:t>Independent living and life skills</w:t>
            </w:r>
          </w:p>
        </w:tc>
        <w:tc>
          <w:tcPr>
            <w:tcW w:w="567" w:type="dxa"/>
            <w:tcBorders>
              <w:top w:val="single" w:sz="4" w:space="0" w:color="auto"/>
              <w:left w:val="single" w:sz="4" w:space="0" w:color="auto"/>
              <w:bottom w:val="single" w:sz="4" w:space="0" w:color="auto"/>
              <w:right w:val="single" w:sz="4" w:space="0" w:color="auto"/>
            </w:tcBorders>
            <w:hideMark/>
          </w:tcPr>
          <w:p w14:paraId="6EAF95E4"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61162DFC" w14:textId="77777777" w:rsidR="00895D7D" w:rsidRDefault="00895D7D">
            <w:pPr>
              <w:rPr>
                <w:rFonts w:ascii="Tahoma" w:hAnsi="Tahoma" w:cs="Tahoma"/>
                <w:sz w:val="23"/>
                <w:szCs w:val="23"/>
              </w:rPr>
            </w:pPr>
          </w:p>
        </w:tc>
      </w:tr>
    </w:tbl>
    <w:p w14:paraId="2C2A08BE" w14:textId="77777777" w:rsidR="00895D7D" w:rsidRDefault="00895D7D" w:rsidP="00895D7D">
      <w:pPr>
        <w:rPr>
          <w:rFonts w:ascii="Tahoma" w:hAnsi="Tahoma" w:cs="Tahoma"/>
          <w:sz w:val="23"/>
          <w:szCs w:val="23"/>
        </w:rPr>
      </w:pPr>
    </w:p>
    <w:p w14:paraId="639E2A3A" w14:textId="77777777" w:rsidR="00895D7D" w:rsidRDefault="00895D7D" w:rsidP="00895D7D">
      <w:pPr>
        <w:rPr>
          <w:rFonts w:ascii="Tahoma" w:hAnsi="Tahoma" w:cs="Tahoma"/>
          <w:i/>
          <w:iCs/>
          <w:sz w:val="23"/>
          <w:szCs w:val="23"/>
        </w:rPr>
      </w:pPr>
      <w:r>
        <w:rPr>
          <w:rFonts w:ascii="Tahoma" w:hAnsi="Tahoma" w:cs="Tahoma"/>
          <w:i/>
          <w:iCs/>
          <w:sz w:val="23"/>
          <w:szCs w:val="23"/>
        </w:rPr>
        <w:t>Please give reasons for your answer</w:t>
      </w:r>
    </w:p>
    <w:p w14:paraId="45C6DEAB" w14:textId="77777777" w:rsidR="00895D7D" w:rsidRDefault="00895D7D" w:rsidP="00895D7D">
      <w:pPr>
        <w:rPr>
          <w:rFonts w:ascii="Tahoma" w:hAnsi="Tahoma" w:cs="Tahoma"/>
          <w:sz w:val="23"/>
          <w:szCs w:val="23"/>
        </w:rPr>
      </w:pPr>
      <w:r>
        <w:rPr>
          <w:rFonts w:ascii="Tahoma" w:hAnsi="Tahoma" w:cs="Tahoma"/>
          <w:sz w:val="23"/>
          <w:szCs w:val="23"/>
        </w:rPr>
        <w:t xml:space="preserve">This is combined in a lot of entry and level 1 quals to improve confidence, it is also useful for those that have been out of employment for a while. </w:t>
      </w:r>
    </w:p>
    <w:p w14:paraId="795919AA" w14:textId="77777777" w:rsidR="00895D7D" w:rsidRDefault="00895D7D" w:rsidP="00895D7D">
      <w:pPr>
        <w:rPr>
          <w:rFonts w:ascii="Tahoma" w:hAnsi="Tahoma" w:cs="Tahoma"/>
          <w:i/>
          <w:iCs/>
          <w:sz w:val="23"/>
          <w:szCs w:val="23"/>
        </w:rPr>
      </w:pPr>
      <w:r>
        <w:rPr>
          <w:rFonts w:ascii="Tahoma" w:hAnsi="Tahoma" w:cs="Tahoma"/>
          <w:i/>
          <w:iCs/>
          <w:sz w:val="23"/>
          <w:szCs w:val="23"/>
        </w:rPr>
        <w:t>31. Do you agree that we should develop national standards and set broad core content at entry level (including entry level 1, entry level 2, and entry level 3) for:</w:t>
      </w:r>
    </w:p>
    <w:tbl>
      <w:tblPr>
        <w:tblStyle w:val="TableGrid"/>
        <w:tblW w:w="0" w:type="auto"/>
        <w:tblLook w:val="04A0" w:firstRow="1" w:lastRow="0" w:firstColumn="1" w:lastColumn="0" w:noHBand="0" w:noVBand="1"/>
      </w:tblPr>
      <w:tblGrid>
        <w:gridCol w:w="7508"/>
        <w:gridCol w:w="573"/>
        <w:gridCol w:w="941"/>
      </w:tblGrid>
      <w:tr w:rsidR="00895D7D" w14:paraId="47798952" w14:textId="77777777" w:rsidTr="00895D7D">
        <w:tc>
          <w:tcPr>
            <w:tcW w:w="7508" w:type="dxa"/>
            <w:tcBorders>
              <w:top w:val="single" w:sz="4" w:space="0" w:color="auto"/>
              <w:left w:val="single" w:sz="4" w:space="0" w:color="auto"/>
              <w:bottom w:val="single" w:sz="4" w:space="0" w:color="auto"/>
              <w:right w:val="single" w:sz="4" w:space="0" w:color="auto"/>
            </w:tcBorders>
          </w:tcPr>
          <w:p w14:paraId="6A3A7CE6" w14:textId="77777777" w:rsidR="00895D7D" w:rsidRDefault="00895D7D">
            <w:pPr>
              <w:rPr>
                <w:rFonts w:ascii="Tahoma" w:hAnsi="Tahoma" w:cs="Tahoma"/>
                <w:sz w:val="23"/>
                <w:szCs w:val="23"/>
              </w:rPr>
            </w:pPr>
          </w:p>
        </w:tc>
        <w:tc>
          <w:tcPr>
            <w:tcW w:w="567" w:type="dxa"/>
            <w:tcBorders>
              <w:top w:val="single" w:sz="4" w:space="0" w:color="auto"/>
              <w:left w:val="single" w:sz="4" w:space="0" w:color="auto"/>
              <w:bottom w:val="single" w:sz="4" w:space="0" w:color="auto"/>
              <w:right w:val="single" w:sz="4" w:space="0" w:color="auto"/>
            </w:tcBorders>
            <w:hideMark/>
          </w:tcPr>
          <w:p w14:paraId="60D6845B" w14:textId="77777777" w:rsidR="00895D7D" w:rsidRDefault="00895D7D">
            <w:pPr>
              <w:rPr>
                <w:rFonts w:ascii="Tahoma" w:hAnsi="Tahoma" w:cs="Tahoma"/>
                <w:sz w:val="23"/>
                <w:szCs w:val="23"/>
              </w:rPr>
            </w:pPr>
            <w:r>
              <w:rPr>
                <w:rFonts w:ascii="Tahoma" w:hAnsi="Tahoma" w:cs="Tahoma"/>
                <w:sz w:val="23"/>
                <w:szCs w:val="23"/>
              </w:rPr>
              <w:t>Yes</w:t>
            </w:r>
          </w:p>
        </w:tc>
        <w:tc>
          <w:tcPr>
            <w:tcW w:w="941" w:type="dxa"/>
            <w:tcBorders>
              <w:top w:val="single" w:sz="4" w:space="0" w:color="auto"/>
              <w:left w:val="single" w:sz="4" w:space="0" w:color="auto"/>
              <w:bottom w:val="single" w:sz="4" w:space="0" w:color="auto"/>
              <w:right w:val="single" w:sz="4" w:space="0" w:color="auto"/>
            </w:tcBorders>
            <w:hideMark/>
          </w:tcPr>
          <w:p w14:paraId="20A07A1E" w14:textId="77777777" w:rsidR="00895D7D" w:rsidRDefault="00895D7D">
            <w:pPr>
              <w:rPr>
                <w:rFonts w:ascii="Tahoma" w:hAnsi="Tahoma" w:cs="Tahoma"/>
                <w:sz w:val="23"/>
                <w:szCs w:val="23"/>
              </w:rPr>
            </w:pPr>
            <w:r>
              <w:rPr>
                <w:rFonts w:ascii="Tahoma" w:hAnsi="Tahoma" w:cs="Tahoma"/>
                <w:sz w:val="23"/>
                <w:szCs w:val="23"/>
              </w:rPr>
              <w:t>No</w:t>
            </w:r>
          </w:p>
        </w:tc>
      </w:tr>
      <w:tr w:rsidR="00895D7D" w14:paraId="5043876D"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1C95E004" w14:textId="77777777" w:rsidR="00895D7D" w:rsidRDefault="00895D7D">
            <w:pPr>
              <w:rPr>
                <w:rFonts w:ascii="Tahoma" w:hAnsi="Tahoma" w:cs="Tahoma"/>
                <w:sz w:val="23"/>
                <w:szCs w:val="23"/>
              </w:rPr>
            </w:pPr>
            <w:r>
              <w:rPr>
                <w:rFonts w:ascii="Tahoma" w:hAnsi="Tahoma" w:cs="Tahoma"/>
                <w:sz w:val="23"/>
                <w:szCs w:val="23"/>
              </w:rPr>
              <w:t>Personal and social development</w:t>
            </w:r>
          </w:p>
        </w:tc>
        <w:tc>
          <w:tcPr>
            <w:tcW w:w="567" w:type="dxa"/>
            <w:tcBorders>
              <w:top w:val="single" w:sz="4" w:space="0" w:color="auto"/>
              <w:left w:val="single" w:sz="4" w:space="0" w:color="auto"/>
              <w:bottom w:val="single" w:sz="4" w:space="0" w:color="auto"/>
              <w:right w:val="single" w:sz="4" w:space="0" w:color="auto"/>
            </w:tcBorders>
            <w:hideMark/>
          </w:tcPr>
          <w:p w14:paraId="3CBFA908"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1FC47EDC" w14:textId="77777777" w:rsidR="00895D7D" w:rsidRDefault="00895D7D">
            <w:pPr>
              <w:rPr>
                <w:rFonts w:ascii="Tahoma" w:hAnsi="Tahoma" w:cs="Tahoma"/>
                <w:sz w:val="23"/>
                <w:szCs w:val="23"/>
              </w:rPr>
            </w:pPr>
          </w:p>
        </w:tc>
      </w:tr>
      <w:tr w:rsidR="00895D7D" w14:paraId="567B4374"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49AF41B4" w14:textId="77777777" w:rsidR="00895D7D" w:rsidRDefault="00895D7D">
            <w:pPr>
              <w:rPr>
                <w:rFonts w:ascii="Tahoma" w:hAnsi="Tahoma" w:cs="Tahoma"/>
                <w:sz w:val="23"/>
                <w:szCs w:val="23"/>
              </w:rPr>
            </w:pPr>
            <w:r>
              <w:rPr>
                <w:rFonts w:ascii="Tahoma" w:hAnsi="Tahoma" w:cs="Tahoma"/>
                <w:sz w:val="23"/>
                <w:szCs w:val="23"/>
              </w:rPr>
              <w:t>Employability skills</w:t>
            </w:r>
          </w:p>
        </w:tc>
        <w:tc>
          <w:tcPr>
            <w:tcW w:w="567" w:type="dxa"/>
            <w:tcBorders>
              <w:top w:val="single" w:sz="4" w:space="0" w:color="auto"/>
              <w:left w:val="single" w:sz="4" w:space="0" w:color="auto"/>
              <w:bottom w:val="single" w:sz="4" w:space="0" w:color="auto"/>
              <w:right w:val="single" w:sz="4" w:space="0" w:color="auto"/>
            </w:tcBorders>
            <w:hideMark/>
          </w:tcPr>
          <w:p w14:paraId="63787FD0"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20CC3E35" w14:textId="77777777" w:rsidR="00895D7D" w:rsidRDefault="00895D7D">
            <w:pPr>
              <w:rPr>
                <w:rFonts w:ascii="Tahoma" w:hAnsi="Tahoma" w:cs="Tahoma"/>
                <w:sz w:val="23"/>
                <w:szCs w:val="23"/>
              </w:rPr>
            </w:pPr>
          </w:p>
        </w:tc>
      </w:tr>
      <w:tr w:rsidR="00895D7D" w14:paraId="11490E23" w14:textId="77777777" w:rsidTr="00895D7D">
        <w:tc>
          <w:tcPr>
            <w:tcW w:w="7508" w:type="dxa"/>
            <w:tcBorders>
              <w:top w:val="single" w:sz="4" w:space="0" w:color="auto"/>
              <w:left w:val="single" w:sz="4" w:space="0" w:color="auto"/>
              <w:bottom w:val="single" w:sz="4" w:space="0" w:color="auto"/>
              <w:right w:val="single" w:sz="4" w:space="0" w:color="auto"/>
            </w:tcBorders>
            <w:hideMark/>
          </w:tcPr>
          <w:p w14:paraId="51D7AEED" w14:textId="77777777" w:rsidR="00895D7D" w:rsidRDefault="00895D7D">
            <w:pPr>
              <w:rPr>
                <w:rFonts w:ascii="Tahoma" w:hAnsi="Tahoma" w:cs="Tahoma"/>
                <w:sz w:val="23"/>
                <w:szCs w:val="23"/>
              </w:rPr>
            </w:pPr>
            <w:r>
              <w:rPr>
                <w:rFonts w:ascii="Tahoma" w:hAnsi="Tahoma" w:cs="Tahoma"/>
                <w:sz w:val="23"/>
                <w:szCs w:val="23"/>
              </w:rPr>
              <w:t>Independent living and life skills</w:t>
            </w:r>
          </w:p>
        </w:tc>
        <w:tc>
          <w:tcPr>
            <w:tcW w:w="567" w:type="dxa"/>
            <w:tcBorders>
              <w:top w:val="single" w:sz="4" w:space="0" w:color="auto"/>
              <w:left w:val="single" w:sz="4" w:space="0" w:color="auto"/>
              <w:bottom w:val="single" w:sz="4" w:space="0" w:color="auto"/>
              <w:right w:val="single" w:sz="4" w:space="0" w:color="auto"/>
            </w:tcBorders>
            <w:hideMark/>
          </w:tcPr>
          <w:p w14:paraId="5A5EA89E" w14:textId="77777777" w:rsidR="00895D7D" w:rsidRDefault="00895D7D">
            <w:pPr>
              <w:rPr>
                <w:rFonts w:ascii="Tahoma" w:hAnsi="Tahoma" w:cs="Tahoma"/>
                <w:sz w:val="23"/>
                <w:szCs w:val="23"/>
              </w:rPr>
            </w:pPr>
            <w:r>
              <w:rPr>
                <w:rFonts w:ascii="Tahoma" w:hAnsi="Tahoma" w:cs="Tahoma"/>
                <w:sz w:val="23"/>
                <w:szCs w:val="23"/>
              </w:rPr>
              <w:t>X</w:t>
            </w:r>
          </w:p>
        </w:tc>
        <w:tc>
          <w:tcPr>
            <w:tcW w:w="941" w:type="dxa"/>
            <w:tcBorders>
              <w:top w:val="single" w:sz="4" w:space="0" w:color="auto"/>
              <w:left w:val="single" w:sz="4" w:space="0" w:color="auto"/>
              <w:bottom w:val="single" w:sz="4" w:space="0" w:color="auto"/>
              <w:right w:val="single" w:sz="4" w:space="0" w:color="auto"/>
            </w:tcBorders>
          </w:tcPr>
          <w:p w14:paraId="7C778C29" w14:textId="77777777" w:rsidR="00895D7D" w:rsidRDefault="00895D7D">
            <w:pPr>
              <w:rPr>
                <w:rFonts w:ascii="Tahoma" w:hAnsi="Tahoma" w:cs="Tahoma"/>
                <w:sz w:val="23"/>
                <w:szCs w:val="23"/>
              </w:rPr>
            </w:pPr>
          </w:p>
        </w:tc>
      </w:tr>
    </w:tbl>
    <w:p w14:paraId="3AB01754" w14:textId="77777777" w:rsidR="00895D7D" w:rsidRDefault="00895D7D" w:rsidP="00895D7D">
      <w:pPr>
        <w:rPr>
          <w:rFonts w:ascii="Tahoma" w:hAnsi="Tahoma" w:cs="Tahoma"/>
          <w:sz w:val="23"/>
          <w:szCs w:val="23"/>
        </w:rPr>
      </w:pPr>
    </w:p>
    <w:p w14:paraId="107BB75A" w14:textId="77777777" w:rsidR="00895D7D" w:rsidRDefault="00895D7D" w:rsidP="00895D7D">
      <w:pPr>
        <w:rPr>
          <w:rFonts w:ascii="Tahoma" w:hAnsi="Tahoma" w:cs="Tahoma"/>
          <w:i/>
          <w:iCs/>
          <w:sz w:val="23"/>
          <w:szCs w:val="23"/>
        </w:rPr>
      </w:pPr>
      <w:r>
        <w:rPr>
          <w:rFonts w:ascii="Tahoma" w:hAnsi="Tahoma" w:cs="Tahoma"/>
          <w:i/>
          <w:iCs/>
          <w:sz w:val="23"/>
          <w:szCs w:val="23"/>
        </w:rPr>
        <w:t>Please give reasons for your answer</w:t>
      </w:r>
    </w:p>
    <w:p w14:paraId="7535B642" w14:textId="77777777" w:rsidR="00895D7D" w:rsidRDefault="00895D7D" w:rsidP="00895D7D">
      <w:pPr>
        <w:rPr>
          <w:rFonts w:ascii="Tahoma" w:hAnsi="Tahoma" w:cs="Tahoma"/>
          <w:sz w:val="23"/>
          <w:szCs w:val="23"/>
        </w:rPr>
      </w:pPr>
      <w:r>
        <w:rPr>
          <w:rFonts w:ascii="Tahoma" w:hAnsi="Tahoma" w:cs="Tahoma"/>
          <w:sz w:val="23"/>
          <w:szCs w:val="23"/>
        </w:rPr>
        <w:t xml:space="preserve">This is combined in a lot of entry and level 1 quals to improve confidence, it is also useful for those that have been out of employment for a while. </w:t>
      </w:r>
    </w:p>
    <w:p w14:paraId="289DF585" w14:textId="77777777" w:rsidR="00895D7D" w:rsidRDefault="00895D7D" w:rsidP="00895D7D">
      <w:pPr>
        <w:rPr>
          <w:rFonts w:ascii="Tahoma" w:hAnsi="Tahoma" w:cs="Tahoma"/>
          <w:i/>
          <w:iCs/>
          <w:sz w:val="23"/>
          <w:szCs w:val="23"/>
        </w:rPr>
      </w:pPr>
    </w:p>
    <w:p w14:paraId="4EE0A663" w14:textId="77777777" w:rsidR="00895D7D" w:rsidRDefault="00895D7D" w:rsidP="00895D7D">
      <w:pPr>
        <w:rPr>
          <w:rFonts w:ascii="Tahoma" w:hAnsi="Tahoma" w:cs="Tahoma"/>
          <w:i/>
          <w:iCs/>
          <w:sz w:val="23"/>
          <w:szCs w:val="23"/>
        </w:rPr>
      </w:pPr>
      <w:r>
        <w:rPr>
          <w:rFonts w:ascii="Tahoma" w:hAnsi="Tahoma" w:cs="Tahoma"/>
          <w:i/>
          <w:iCs/>
          <w:sz w:val="23"/>
          <w:szCs w:val="23"/>
        </w:rPr>
        <w:t>32. Do you agree the national standards set out on page 86 will cover the range of skills needed by students?</w:t>
      </w:r>
    </w:p>
    <w:p w14:paraId="1B5C1136" w14:textId="77777777" w:rsidR="00895D7D" w:rsidRDefault="00895D7D" w:rsidP="00895D7D">
      <w:pPr>
        <w:rPr>
          <w:rFonts w:ascii="Tahoma" w:hAnsi="Tahoma" w:cs="Tahoma"/>
          <w:sz w:val="23"/>
          <w:szCs w:val="23"/>
        </w:rPr>
      </w:pPr>
      <w:r>
        <w:rPr>
          <w:rFonts w:ascii="Tahoma" w:hAnsi="Tahoma" w:cs="Tahoma"/>
          <w:sz w:val="23"/>
          <w:szCs w:val="23"/>
        </w:rPr>
        <w:t xml:space="preserve"> Yes</w:t>
      </w:r>
    </w:p>
    <w:p w14:paraId="360D1803" w14:textId="77777777" w:rsidR="00895D7D" w:rsidRDefault="00895D7D" w:rsidP="00895D7D">
      <w:pPr>
        <w:rPr>
          <w:rFonts w:ascii="Tahoma" w:hAnsi="Tahoma" w:cs="Tahoma"/>
          <w:i/>
          <w:iCs/>
          <w:sz w:val="23"/>
          <w:szCs w:val="23"/>
        </w:rPr>
      </w:pPr>
      <w:r>
        <w:rPr>
          <w:rFonts w:ascii="Tahoma" w:hAnsi="Tahoma" w:cs="Tahoma"/>
          <w:i/>
          <w:iCs/>
          <w:sz w:val="23"/>
          <w:szCs w:val="23"/>
        </w:rPr>
        <w:t>Do you believe there is a need to develop additional national standards? If so, please tell us what the standard should contain and which students it would benefit</w:t>
      </w:r>
    </w:p>
    <w:p w14:paraId="2F5F0B4D" w14:textId="77777777" w:rsidR="00895D7D" w:rsidRDefault="00895D7D" w:rsidP="00895D7D">
      <w:pPr>
        <w:rPr>
          <w:rFonts w:ascii="Tahoma" w:hAnsi="Tahoma" w:cs="Tahoma"/>
          <w:i/>
          <w:iCs/>
          <w:sz w:val="23"/>
          <w:szCs w:val="23"/>
        </w:rPr>
      </w:pPr>
      <w:r>
        <w:rPr>
          <w:rFonts w:ascii="Tahoma" w:hAnsi="Tahoma" w:cs="Tahoma"/>
          <w:i/>
          <w:iCs/>
          <w:sz w:val="23"/>
          <w:szCs w:val="23"/>
        </w:rPr>
        <w:t>33. Thinking specifically about employability skills:</w:t>
      </w:r>
    </w:p>
    <w:p w14:paraId="6C414523" w14:textId="77777777" w:rsidR="00895D7D" w:rsidRDefault="00895D7D" w:rsidP="00895D7D">
      <w:pPr>
        <w:rPr>
          <w:rFonts w:ascii="Tahoma" w:hAnsi="Tahoma" w:cs="Tahoma"/>
          <w:sz w:val="23"/>
          <w:szCs w:val="23"/>
        </w:rPr>
      </w:pPr>
      <w:r>
        <w:rPr>
          <w:rFonts w:ascii="Tahoma" w:hAnsi="Tahoma" w:cs="Tahoma"/>
          <w:i/>
          <w:iCs/>
          <w:sz w:val="23"/>
          <w:szCs w:val="23"/>
        </w:rPr>
        <w:t>As an employer, do you currently recognise or value any qualifications in employability skills?</w:t>
      </w:r>
      <w:r>
        <w:rPr>
          <w:rFonts w:ascii="Tahoma" w:hAnsi="Tahoma" w:cs="Tahoma"/>
          <w:sz w:val="23"/>
          <w:szCs w:val="23"/>
        </w:rPr>
        <w:tab/>
        <w:t>Yes</w:t>
      </w:r>
      <w:r>
        <w:rPr>
          <w:rFonts w:ascii="Tahoma" w:hAnsi="Tahoma" w:cs="Tahoma"/>
          <w:sz w:val="23"/>
          <w:szCs w:val="23"/>
        </w:rPr>
        <w:tab/>
        <w:t>No</w:t>
      </w:r>
    </w:p>
    <w:p w14:paraId="1F064A73" w14:textId="77777777" w:rsidR="00895D7D" w:rsidRDefault="00895D7D" w:rsidP="00895D7D">
      <w:pPr>
        <w:rPr>
          <w:rFonts w:ascii="Tahoma" w:hAnsi="Tahoma" w:cs="Tahoma"/>
          <w:sz w:val="23"/>
          <w:szCs w:val="23"/>
        </w:rPr>
      </w:pPr>
    </w:p>
    <w:p w14:paraId="4F62E5A2" w14:textId="77777777" w:rsidR="00895D7D" w:rsidRDefault="00895D7D" w:rsidP="00895D7D">
      <w:pPr>
        <w:rPr>
          <w:rFonts w:ascii="Tahoma" w:hAnsi="Tahoma" w:cs="Tahoma"/>
          <w:i/>
          <w:iCs/>
          <w:sz w:val="23"/>
          <w:szCs w:val="23"/>
        </w:rPr>
      </w:pPr>
      <w:r>
        <w:rPr>
          <w:rFonts w:ascii="Tahoma" w:hAnsi="Tahoma" w:cs="Tahoma"/>
          <w:i/>
          <w:iCs/>
          <w:sz w:val="23"/>
          <w:szCs w:val="23"/>
        </w:rPr>
        <w:t>If so, how do you recognise them and what aspects of these qualifications do you value?</w:t>
      </w:r>
    </w:p>
    <w:p w14:paraId="2010591C" w14:textId="77777777" w:rsidR="00895D7D" w:rsidRDefault="00895D7D" w:rsidP="00895D7D">
      <w:pPr>
        <w:rPr>
          <w:rFonts w:ascii="Tahoma" w:hAnsi="Tahoma" w:cs="Tahoma"/>
          <w:i/>
          <w:iCs/>
          <w:sz w:val="23"/>
          <w:szCs w:val="23"/>
        </w:rPr>
      </w:pPr>
      <w:r>
        <w:rPr>
          <w:rFonts w:ascii="Tahoma" w:hAnsi="Tahoma" w:cs="Tahoma"/>
          <w:i/>
          <w:iCs/>
          <w:sz w:val="23"/>
          <w:szCs w:val="23"/>
        </w:rPr>
        <w:t xml:space="preserve">Will the proposed national standards make a difference to the way these qualifications are perceived, </w:t>
      </w:r>
      <w:proofErr w:type="gramStart"/>
      <w:r>
        <w:rPr>
          <w:rFonts w:ascii="Tahoma" w:hAnsi="Tahoma" w:cs="Tahoma"/>
          <w:i/>
          <w:iCs/>
          <w:sz w:val="23"/>
          <w:szCs w:val="23"/>
        </w:rPr>
        <w:t>valued</w:t>
      </w:r>
      <w:proofErr w:type="gramEnd"/>
      <w:r>
        <w:rPr>
          <w:rFonts w:ascii="Tahoma" w:hAnsi="Tahoma" w:cs="Tahoma"/>
          <w:i/>
          <w:iCs/>
          <w:sz w:val="23"/>
          <w:szCs w:val="23"/>
        </w:rPr>
        <w:t xml:space="preserve"> or recognised by employers</w:t>
      </w:r>
      <w:r>
        <w:rPr>
          <w:rFonts w:ascii="Tahoma" w:hAnsi="Tahoma" w:cs="Tahoma"/>
          <w:i/>
          <w:iCs/>
          <w:sz w:val="23"/>
          <w:szCs w:val="23"/>
        </w:rPr>
        <w:tab/>
      </w:r>
    </w:p>
    <w:p w14:paraId="2E37582C" w14:textId="77777777" w:rsidR="00895D7D" w:rsidRDefault="00895D7D" w:rsidP="00895D7D">
      <w:pPr>
        <w:rPr>
          <w:rFonts w:ascii="Tahoma" w:hAnsi="Tahoma" w:cs="Tahoma"/>
          <w:sz w:val="23"/>
          <w:szCs w:val="23"/>
        </w:rPr>
      </w:pPr>
      <w:r>
        <w:rPr>
          <w:rFonts w:ascii="Tahoma" w:hAnsi="Tahoma" w:cs="Tahoma"/>
          <w:sz w:val="23"/>
          <w:szCs w:val="23"/>
        </w:rPr>
        <w:t>Yes</w:t>
      </w:r>
      <w:r>
        <w:rPr>
          <w:rFonts w:ascii="Tahoma" w:hAnsi="Tahoma" w:cs="Tahoma"/>
          <w:sz w:val="23"/>
          <w:szCs w:val="23"/>
        </w:rPr>
        <w:tab/>
        <w:t>No</w:t>
      </w:r>
    </w:p>
    <w:p w14:paraId="1C3E5106" w14:textId="77777777" w:rsidR="00895D7D" w:rsidRDefault="00895D7D" w:rsidP="00895D7D">
      <w:pPr>
        <w:rPr>
          <w:rFonts w:ascii="Tahoma" w:hAnsi="Tahoma" w:cs="Tahoma"/>
          <w:i/>
          <w:iCs/>
          <w:sz w:val="23"/>
          <w:szCs w:val="23"/>
        </w:rPr>
      </w:pPr>
      <w:r>
        <w:rPr>
          <w:rFonts w:ascii="Tahoma" w:hAnsi="Tahoma" w:cs="Tahoma"/>
          <w:i/>
          <w:iCs/>
          <w:sz w:val="23"/>
          <w:szCs w:val="23"/>
        </w:rPr>
        <w:t>If so, what difference will they make and how would employability qualifications aligned to standards be used by employers in the future?</w:t>
      </w:r>
    </w:p>
    <w:p w14:paraId="1DB72022" w14:textId="77777777" w:rsidR="00895D7D" w:rsidRDefault="00895D7D" w:rsidP="00895D7D">
      <w:pPr>
        <w:rPr>
          <w:rFonts w:ascii="Tahoma" w:hAnsi="Tahoma" w:cs="Tahoma"/>
          <w:i/>
          <w:iCs/>
          <w:sz w:val="23"/>
          <w:szCs w:val="23"/>
        </w:rPr>
      </w:pPr>
      <w:r>
        <w:rPr>
          <w:rFonts w:ascii="Tahoma" w:hAnsi="Tahoma" w:cs="Tahoma"/>
          <w:i/>
          <w:iCs/>
          <w:sz w:val="23"/>
          <w:szCs w:val="23"/>
        </w:rPr>
        <w:t>34. Is it necessary to have standalone qualifications at entry level 1 and entry level 2 that provide students with an opportunity to explore industries and occupations?</w:t>
      </w:r>
    </w:p>
    <w:p w14:paraId="155880BC" w14:textId="77777777" w:rsidR="00895D7D" w:rsidRDefault="00895D7D" w:rsidP="00895D7D">
      <w:pPr>
        <w:rPr>
          <w:rFonts w:ascii="Tahoma" w:hAnsi="Tahoma" w:cs="Tahoma"/>
          <w:sz w:val="23"/>
          <w:szCs w:val="23"/>
        </w:rPr>
      </w:pPr>
      <w:r>
        <w:rPr>
          <w:rFonts w:ascii="Tahoma" w:hAnsi="Tahoma" w:cs="Tahoma"/>
          <w:sz w:val="23"/>
          <w:szCs w:val="23"/>
        </w:rPr>
        <w:t xml:space="preserve"> Yes</w:t>
      </w:r>
    </w:p>
    <w:p w14:paraId="7F4F719A" w14:textId="77777777" w:rsidR="00895D7D" w:rsidRDefault="00895D7D" w:rsidP="00895D7D">
      <w:pPr>
        <w:rPr>
          <w:rFonts w:ascii="Tahoma" w:hAnsi="Tahoma" w:cs="Tahoma"/>
          <w:i/>
          <w:iCs/>
          <w:sz w:val="23"/>
          <w:szCs w:val="23"/>
        </w:rPr>
      </w:pPr>
      <w:r>
        <w:rPr>
          <w:rFonts w:ascii="Tahoma" w:hAnsi="Tahoma" w:cs="Tahoma"/>
          <w:i/>
          <w:iCs/>
          <w:sz w:val="23"/>
          <w:szCs w:val="23"/>
        </w:rPr>
        <w:t>Please give reasons for your answer</w:t>
      </w:r>
    </w:p>
    <w:p w14:paraId="25C621D3" w14:textId="77777777" w:rsidR="00895D7D" w:rsidRDefault="00895D7D" w:rsidP="00895D7D">
      <w:pPr>
        <w:rPr>
          <w:rFonts w:ascii="Tahoma" w:hAnsi="Tahoma" w:cs="Tahoma"/>
          <w:sz w:val="23"/>
          <w:szCs w:val="23"/>
        </w:rPr>
      </w:pPr>
      <w:r>
        <w:rPr>
          <w:rFonts w:ascii="Tahoma" w:hAnsi="Tahoma" w:cs="Tahoma"/>
          <w:sz w:val="23"/>
          <w:szCs w:val="23"/>
        </w:rPr>
        <w:t xml:space="preserve">Apprenticeships tend to specialise more quickly than qualifications due to how they are developed.  </w:t>
      </w:r>
      <w:proofErr w:type="gramStart"/>
      <w:r>
        <w:rPr>
          <w:rFonts w:ascii="Tahoma" w:hAnsi="Tahoma" w:cs="Tahoma"/>
          <w:sz w:val="23"/>
          <w:szCs w:val="23"/>
        </w:rPr>
        <w:t>Therefore</w:t>
      </w:r>
      <w:proofErr w:type="gramEnd"/>
      <w:r>
        <w:rPr>
          <w:rFonts w:ascii="Tahoma" w:hAnsi="Tahoma" w:cs="Tahoma"/>
          <w:sz w:val="23"/>
          <w:szCs w:val="23"/>
        </w:rPr>
        <w:t xml:space="preserve"> there is a recognised need for qualifications that help people understand what their options are and gain some basic insight as a stepping stone to enrolling on a full apprenticeship standard.  </w:t>
      </w:r>
    </w:p>
    <w:p w14:paraId="3D0C5F50" w14:textId="77777777" w:rsidR="00895D7D" w:rsidRDefault="00895D7D" w:rsidP="00895D7D">
      <w:pPr>
        <w:pStyle w:val="Heading1"/>
      </w:pPr>
      <w:bookmarkStart w:id="22" w:name="_Toc99562962"/>
      <w:r>
        <w:t>Implementing reform</w:t>
      </w:r>
      <w:bookmarkEnd w:id="22"/>
    </w:p>
    <w:p w14:paraId="1EB15ABA" w14:textId="77777777" w:rsidR="00895D7D" w:rsidRDefault="00895D7D" w:rsidP="00895D7D">
      <w:pPr>
        <w:rPr>
          <w:rFonts w:ascii="Tahoma" w:hAnsi="Tahoma" w:cs="Tahoma"/>
          <w:i/>
          <w:iCs/>
          <w:sz w:val="23"/>
          <w:szCs w:val="23"/>
        </w:rPr>
      </w:pPr>
      <w:r>
        <w:rPr>
          <w:rFonts w:ascii="Tahoma" w:hAnsi="Tahoma" w:cs="Tahoma"/>
          <w:i/>
          <w:iCs/>
          <w:sz w:val="23"/>
          <w:szCs w:val="23"/>
        </w:rPr>
        <w:t>35. What support is needed to smooth the implementation of the proposed reforms to level 2 and below qualifications?</w:t>
      </w:r>
    </w:p>
    <w:p w14:paraId="14F2632C" w14:textId="77777777" w:rsidR="00895D7D" w:rsidRDefault="00895D7D" w:rsidP="00895D7D">
      <w:pPr>
        <w:rPr>
          <w:rFonts w:ascii="Tahoma" w:hAnsi="Tahoma" w:cs="Tahoma"/>
          <w:sz w:val="23"/>
          <w:szCs w:val="23"/>
        </w:rPr>
      </w:pPr>
      <w:r>
        <w:rPr>
          <w:rFonts w:ascii="Tahoma" w:hAnsi="Tahoma" w:cs="Tahoma"/>
          <w:sz w:val="23"/>
          <w:szCs w:val="23"/>
        </w:rPr>
        <w:t xml:space="preserve">A review of the occupational maps to make sure that they are fit for this purpose – much more nuance than is needed than for apprenticeships. </w:t>
      </w:r>
    </w:p>
    <w:p w14:paraId="31D33B0B" w14:textId="77777777" w:rsidR="00895D7D" w:rsidRDefault="00895D7D" w:rsidP="00895D7D">
      <w:pPr>
        <w:rPr>
          <w:rFonts w:ascii="Tahoma" w:hAnsi="Tahoma" w:cs="Tahoma"/>
          <w:sz w:val="23"/>
          <w:szCs w:val="23"/>
        </w:rPr>
      </w:pPr>
      <w:r>
        <w:rPr>
          <w:rFonts w:ascii="Tahoma" w:hAnsi="Tahoma" w:cs="Tahoma"/>
          <w:sz w:val="23"/>
          <w:szCs w:val="23"/>
        </w:rPr>
        <w:lastRenderedPageBreak/>
        <w:t xml:space="preserve">A clear focus on low enrolment qualifications that meet specific sub sector needs.  Recognition that these qualifications may go beyond the occupational standard but will train them for a particular type of work.  Work based learning will naturally mean that the learner will pick up sub sector specialism, but in a college-based environment they this will not occur.  </w:t>
      </w:r>
    </w:p>
    <w:p w14:paraId="0F8CE758" w14:textId="77777777" w:rsidR="00895D7D" w:rsidRDefault="00895D7D" w:rsidP="00895D7D">
      <w:pPr>
        <w:rPr>
          <w:rFonts w:ascii="Tahoma" w:hAnsi="Tahoma" w:cs="Tahoma"/>
          <w:sz w:val="23"/>
          <w:szCs w:val="23"/>
        </w:rPr>
      </w:pPr>
      <w:r>
        <w:rPr>
          <w:rFonts w:ascii="Tahoma" w:hAnsi="Tahoma" w:cs="Tahoma"/>
          <w:sz w:val="23"/>
          <w:szCs w:val="23"/>
        </w:rPr>
        <w:t xml:space="preserve">Consideration of what ‘modular’ learning might look like and recognition that some adults and young people take time to build up their skills to achieve the large amounts of learning required for the majority of the main level 2 qualification groups.  Very many adults and young people do a first-year qualification (certificate) before they then ‘top up’ to a larger amount of learning (often a diploma). </w:t>
      </w:r>
    </w:p>
    <w:p w14:paraId="2B93E659" w14:textId="77777777" w:rsidR="00895D7D" w:rsidRDefault="00895D7D" w:rsidP="00895D7D">
      <w:pPr>
        <w:rPr>
          <w:rFonts w:ascii="Tahoma" w:hAnsi="Tahoma" w:cs="Tahoma"/>
          <w:sz w:val="23"/>
          <w:szCs w:val="23"/>
        </w:rPr>
      </w:pPr>
      <w:r>
        <w:rPr>
          <w:rFonts w:ascii="Tahoma" w:hAnsi="Tahoma" w:cs="Tahoma"/>
          <w:sz w:val="23"/>
          <w:szCs w:val="23"/>
        </w:rPr>
        <w:t>Recognition that there will be significant costs associated with these changes for both training and assessment providers and suitable support to make sure that lower volume sectors will have qualifications developed in a timely fashion as well as the larger ones.</w:t>
      </w:r>
    </w:p>
    <w:p w14:paraId="63F8B3D4" w14:textId="77777777" w:rsidR="00895D7D" w:rsidRDefault="00895D7D" w:rsidP="00895D7D">
      <w:pPr>
        <w:rPr>
          <w:rFonts w:ascii="Tahoma" w:hAnsi="Tahoma" w:cs="Tahoma"/>
          <w:sz w:val="23"/>
          <w:szCs w:val="23"/>
        </w:rPr>
      </w:pPr>
      <w:r>
        <w:rPr>
          <w:rFonts w:ascii="Tahoma" w:hAnsi="Tahoma" w:cs="Tahoma"/>
          <w:sz w:val="23"/>
          <w:szCs w:val="23"/>
        </w:rPr>
        <w:t xml:space="preserve">A communication strategy for employers to help them understand the changes and their benefits.  Employers have seen significant changes to vocational education over recent years and this can lead to them becoming confused and be a barrier to them engaging with qualifications for their staff.  </w:t>
      </w:r>
    </w:p>
    <w:p w14:paraId="5717C181" w14:textId="77777777" w:rsidR="00895D7D" w:rsidRDefault="00895D7D" w:rsidP="00895D7D">
      <w:pPr>
        <w:rPr>
          <w:rFonts w:ascii="Tahoma" w:hAnsi="Tahoma" w:cs="Tahoma"/>
          <w:sz w:val="23"/>
          <w:szCs w:val="23"/>
        </w:rPr>
      </w:pPr>
      <w:r>
        <w:rPr>
          <w:rFonts w:ascii="Tahoma" w:hAnsi="Tahoma" w:cs="Tahoma"/>
          <w:sz w:val="23"/>
          <w:szCs w:val="23"/>
        </w:rPr>
        <w:t>Clarification over whether one qualification could sit in more than one group. For example, could an RHS qualification sit in both group 6 (adults) and group 7 (supporting to L3 study)? If not, then groups 3 and 6 also need to be available to young people.</w:t>
      </w:r>
    </w:p>
    <w:p w14:paraId="45674482" w14:textId="77777777" w:rsidR="00895D7D" w:rsidRDefault="00895D7D" w:rsidP="00895D7D">
      <w:pPr>
        <w:pStyle w:val="Heading1"/>
      </w:pPr>
      <w:bookmarkStart w:id="23" w:name="_Toc99562963"/>
      <w:r>
        <w:t>General and equalities impact assessments</w:t>
      </w:r>
      <w:bookmarkEnd w:id="23"/>
    </w:p>
    <w:p w14:paraId="25BC167B" w14:textId="77777777" w:rsidR="00895D7D" w:rsidRDefault="00895D7D" w:rsidP="00895D7D">
      <w:pPr>
        <w:rPr>
          <w:rFonts w:ascii="Tahoma" w:hAnsi="Tahoma" w:cs="Tahoma"/>
          <w:i/>
          <w:iCs/>
          <w:sz w:val="23"/>
          <w:szCs w:val="23"/>
        </w:rPr>
      </w:pPr>
      <w:r>
        <w:rPr>
          <w:rFonts w:ascii="Tahoma" w:hAnsi="Tahoma" w:cs="Tahoma"/>
          <w:i/>
          <w:iCs/>
          <w:sz w:val="23"/>
          <w:szCs w:val="23"/>
        </w:rPr>
        <w:t>36. Do you have any concerns regarding the potential impact that the principles and proposals outlined in this consultation may have on students with SEND or those with a protected characteristic under the Equality Act 2010?</w:t>
      </w:r>
    </w:p>
    <w:p w14:paraId="3BB72BB3" w14:textId="77777777" w:rsidR="00895D7D" w:rsidRDefault="00895D7D" w:rsidP="00895D7D">
      <w:pPr>
        <w:rPr>
          <w:rFonts w:ascii="Tahoma" w:hAnsi="Tahoma" w:cs="Tahoma"/>
          <w:sz w:val="23"/>
          <w:szCs w:val="23"/>
        </w:rPr>
      </w:pPr>
      <w:r>
        <w:rPr>
          <w:rFonts w:ascii="Tahoma" w:hAnsi="Tahoma" w:cs="Tahoma"/>
          <w:sz w:val="23"/>
          <w:szCs w:val="23"/>
        </w:rPr>
        <w:t xml:space="preserve">The very large minimum size of many of the qualification groups proposed is a huge concern for learner accessibility.  This will not just impact those with SEND but all learners who are reluctant to learn – they need to see achievements in manageable pieces so that they can build up their skills and their confidence over time.  These learners will not engage well with such large qualifications irrespective of their age.  Although the ideal of large qualifications and full occupational competence for all is admirable, in practice employers take on people with a range of different skill levels and this should not be to the detriment of accessibility to learning.  Most of these qualifications will be inaccessible to SEND learners, especially those with the capability to progress to a level 2.  </w:t>
      </w:r>
    </w:p>
    <w:p w14:paraId="7D1442A6" w14:textId="77777777" w:rsidR="00895D7D" w:rsidRDefault="00895D7D" w:rsidP="00895D7D">
      <w:pPr>
        <w:rPr>
          <w:rFonts w:ascii="Tahoma" w:hAnsi="Tahoma" w:cs="Tahoma"/>
          <w:i/>
          <w:iCs/>
          <w:sz w:val="23"/>
          <w:szCs w:val="23"/>
        </w:rPr>
      </w:pPr>
      <w:r>
        <w:rPr>
          <w:rFonts w:ascii="Tahoma" w:hAnsi="Tahoma" w:cs="Tahoma"/>
          <w:i/>
          <w:iCs/>
          <w:sz w:val="23"/>
          <w:szCs w:val="23"/>
        </w:rPr>
        <w:t>37. Are there any additional impacts that you think should be included in the general impact assessment which will accompany our response to this consultation?</w:t>
      </w:r>
    </w:p>
    <w:p w14:paraId="0D4DC53B" w14:textId="16C77A35" w:rsidR="00895D7D" w:rsidRDefault="00895D7D" w:rsidP="00895D7D">
      <w:pPr>
        <w:rPr>
          <w:rFonts w:ascii="Tahoma" w:hAnsi="Tahoma" w:cs="Tahoma"/>
          <w:sz w:val="23"/>
          <w:szCs w:val="23"/>
        </w:rPr>
      </w:pPr>
      <w:r>
        <w:rPr>
          <w:rFonts w:ascii="Tahoma" w:hAnsi="Tahoma" w:cs="Tahoma"/>
          <w:sz w:val="23"/>
          <w:szCs w:val="23"/>
        </w:rPr>
        <w:t xml:space="preserve">Disruption and loss of well respected, recognised, </w:t>
      </w:r>
      <w:proofErr w:type="gramStart"/>
      <w:r>
        <w:rPr>
          <w:rFonts w:ascii="Tahoma" w:hAnsi="Tahoma" w:cs="Tahoma"/>
          <w:sz w:val="23"/>
          <w:szCs w:val="23"/>
        </w:rPr>
        <w:t>valued</w:t>
      </w:r>
      <w:proofErr w:type="gramEnd"/>
      <w:r>
        <w:rPr>
          <w:rFonts w:ascii="Tahoma" w:hAnsi="Tahoma" w:cs="Tahoma"/>
          <w:sz w:val="23"/>
          <w:szCs w:val="23"/>
        </w:rPr>
        <w:t xml:space="preserve"> and needed qualifications leading to frustration from employers.  This will alienate employers to the skills system and bring the educational sector into disrepute.  The loss of some of these qualifications will impede economic growth in specific sectors by reducing and slowing the availability of labour as demonstrated in the Growing a Green Economy report (</w:t>
      </w:r>
      <w:hyperlink r:id="rId10" w:history="1">
        <w:r>
          <w:rPr>
            <w:rStyle w:val="Hyperlink"/>
            <w:rFonts w:ascii="Tahoma" w:hAnsi="Tahoma" w:cs="Tahoma"/>
            <w:sz w:val="23"/>
            <w:szCs w:val="23"/>
          </w:rPr>
          <w:t>https://www.rhs.org.uk/science/pdf/industry-growth-report-ohrg.pdf</w:t>
        </w:r>
      </w:hyperlink>
      <w:r>
        <w:rPr>
          <w:rFonts w:ascii="Tahoma" w:hAnsi="Tahoma" w:cs="Tahoma"/>
          <w:sz w:val="23"/>
          <w:szCs w:val="23"/>
        </w:rPr>
        <w:t xml:space="preserve">).  The size of these qualifications makes them much less accessible, impacting on the levelling up agenda, but also preventing valuable workers being able to access the labour market.   </w:t>
      </w:r>
    </w:p>
    <w:p w14:paraId="7DA7F527" w14:textId="61EA8CB5" w:rsidR="00170AB8" w:rsidRDefault="00170AB8" w:rsidP="00895D7D">
      <w:pPr>
        <w:rPr>
          <w:rFonts w:ascii="Tahoma" w:hAnsi="Tahoma" w:cs="Tahoma"/>
          <w:sz w:val="23"/>
          <w:szCs w:val="23"/>
        </w:rPr>
      </w:pPr>
      <w:r>
        <w:rPr>
          <w:rFonts w:ascii="Tahoma" w:hAnsi="Tahoma" w:cs="Tahoma"/>
          <w:sz w:val="23"/>
          <w:szCs w:val="23"/>
        </w:rPr>
        <w:lastRenderedPageBreak/>
        <w:t xml:space="preserve">These reforms will suit larger businesses better than smaller ones, who often need a more focused skill set, or more flexible skill sets.  They will not be able to commit their staff time to the large size of these qualifications, especially given they are less likely to benefit from the full breadth of skills being delivered.  </w:t>
      </w:r>
    </w:p>
    <w:p w14:paraId="7B9423B3" w14:textId="77777777" w:rsidR="00895D7D" w:rsidRDefault="00895D7D" w:rsidP="00895D7D">
      <w:pPr>
        <w:rPr>
          <w:rFonts w:ascii="Tahoma" w:hAnsi="Tahoma" w:cs="Tahoma"/>
          <w:sz w:val="23"/>
          <w:szCs w:val="23"/>
        </w:rPr>
      </w:pPr>
      <w:r>
        <w:rPr>
          <w:rFonts w:ascii="Tahoma" w:hAnsi="Tahoma" w:cs="Tahoma"/>
          <w:sz w:val="23"/>
          <w:szCs w:val="23"/>
        </w:rPr>
        <w:t>The risk of not making provision for established qualifications, is that industries need them, and would find other ways to deliver them.  The proposed structure lacks their sub sector needs and may be much larger than they require. This would lead to qualifications turning into non-regulated courses, and so the same training would be offered, but without regulation, and therefore we would see a drop in standards. There will also be an increase in low quality in-house training, reducing the quality and transferability of learning and undermining the viability of training provision.</w:t>
      </w:r>
    </w:p>
    <w:p w14:paraId="7D2A7DDD" w14:textId="77777777" w:rsidR="00895D7D" w:rsidRDefault="00895D7D" w:rsidP="00895D7D">
      <w:pPr>
        <w:rPr>
          <w:rFonts w:ascii="Tahoma" w:hAnsi="Tahoma" w:cs="Tahoma"/>
          <w:sz w:val="23"/>
          <w:szCs w:val="23"/>
        </w:rPr>
      </w:pPr>
      <w:r>
        <w:rPr>
          <w:rFonts w:ascii="Tahoma" w:hAnsi="Tahoma" w:cs="Tahoma"/>
          <w:sz w:val="23"/>
          <w:szCs w:val="23"/>
        </w:rPr>
        <w:t xml:space="preserve">The range of needs of all adult learners should be considered and funded, not just those who are currently ‘low-skilled, low-paid and disadvantaged’. The current tone of this document suggests that this group will be the focus of funding.  Many </w:t>
      </w:r>
      <w:proofErr w:type="gramStart"/>
      <w:r>
        <w:rPr>
          <w:rFonts w:ascii="Tahoma" w:hAnsi="Tahoma" w:cs="Tahoma"/>
          <w:sz w:val="23"/>
          <w:szCs w:val="23"/>
        </w:rPr>
        <w:t>level</w:t>
      </w:r>
      <w:proofErr w:type="gramEnd"/>
      <w:r>
        <w:rPr>
          <w:rFonts w:ascii="Tahoma" w:hAnsi="Tahoma" w:cs="Tahoma"/>
          <w:sz w:val="23"/>
          <w:szCs w:val="23"/>
        </w:rPr>
        <w:t xml:space="preserve"> 2 land based learners and workers would not identify with this description. </w:t>
      </w:r>
    </w:p>
    <w:p w14:paraId="622B8098" w14:textId="77777777" w:rsidR="00895D7D" w:rsidRDefault="00895D7D" w:rsidP="00895D7D">
      <w:pPr>
        <w:rPr>
          <w:rFonts w:ascii="Tahoma" w:hAnsi="Tahoma" w:cs="Tahoma"/>
          <w:sz w:val="23"/>
          <w:szCs w:val="23"/>
        </w:rPr>
      </w:pPr>
      <w:r>
        <w:rPr>
          <w:rFonts w:ascii="Tahoma" w:hAnsi="Tahoma" w:cs="Tahoma"/>
          <w:sz w:val="23"/>
          <w:szCs w:val="23"/>
        </w:rPr>
        <w:t xml:space="preserve">Disruption to awarding organisations and training providers will cause significant costs.  This will accelerate the trend towards them focusing on the highest value sectors and pulling out from lower volume, higher cost delivery such as land based.  These qualifications underpin our primary production sectors for food, </w:t>
      </w:r>
      <w:proofErr w:type="gramStart"/>
      <w:r>
        <w:rPr>
          <w:rFonts w:ascii="Tahoma" w:hAnsi="Tahoma" w:cs="Tahoma"/>
          <w:sz w:val="23"/>
          <w:szCs w:val="23"/>
        </w:rPr>
        <w:t>wood</w:t>
      </w:r>
      <w:proofErr w:type="gramEnd"/>
      <w:r>
        <w:rPr>
          <w:rFonts w:ascii="Tahoma" w:hAnsi="Tahoma" w:cs="Tahoma"/>
          <w:sz w:val="23"/>
          <w:szCs w:val="23"/>
        </w:rPr>
        <w:t xml:space="preserve"> and a range of other natural products, they manage the landscape, protect biodiversity, habitats and heritage, contribute to mitigation and adaptation to climate change, manage watercourses and mitigate flooding in addition to creating and managing the outdoor environment where people live, work, shop and spend leisure time.  Relative low volume and more expensive delivery does not mean these qualifications are ‘niche’ or unimportant.  </w:t>
      </w:r>
    </w:p>
    <w:sectPr w:rsidR="00895D7D" w:rsidSect="0096468A">
      <w:headerReference w:type="even" r:id="rId11"/>
      <w:headerReference w:type="default" r:id="rId12"/>
      <w:footerReference w:type="even" r:id="rId13"/>
      <w:footerReference w:type="default" r:id="rId14"/>
      <w:headerReference w:type="first" r:id="rId15"/>
      <w:footerReference w:type="first" r:id="rId16"/>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BB10" w14:textId="77777777" w:rsidR="00A85F1F" w:rsidRDefault="00A85F1F" w:rsidP="0096468A">
      <w:pPr>
        <w:spacing w:after="0" w:line="240" w:lineRule="auto"/>
      </w:pPr>
      <w:r>
        <w:separator/>
      </w:r>
    </w:p>
  </w:endnote>
  <w:endnote w:type="continuationSeparator" w:id="0">
    <w:p w14:paraId="4427FF3A" w14:textId="77777777" w:rsidR="00A85F1F" w:rsidRDefault="00A85F1F" w:rsidP="0096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7C78" w14:textId="77777777" w:rsidR="00D70ED6" w:rsidRDefault="00D7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092397"/>
      <w:docPartObj>
        <w:docPartGallery w:val="Page Numbers (Bottom of Page)"/>
        <w:docPartUnique/>
      </w:docPartObj>
    </w:sdtPr>
    <w:sdtEndPr>
      <w:rPr>
        <w:noProof/>
      </w:rPr>
    </w:sdtEndPr>
    <w:sdtContent>
      <w:p w14:paraId="0C01DBB7" w14:textId="206E4890" w:rsidR="0096468A" w:rsidRDefault="009646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F288B" w14:textId="77777777" w:rsidR="0096468A" w:rsidRDefault="00964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7E62" w14:textId="77777777" w:rsidR="00D70ED6" w:rsidRDefault="00D7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6AB1" w14:textId="77777777" w:rsidR="00A85F1F" w:rsidRDefault="00A85F1F" w:rsidP="0096468A">
      <w:pPr>
        <w:spacing w:after="0" w:line="240" w:lineRule="auto"/>
      </w:pPr>
      <w:r>
        <w:separator/>
      </w:r>
    </w:p>
  </w:footnote>
  <w:footnote w:type="continuationSeparator" w:id="0">
    <w:p w14:paraId="2F68DAB1" w14:textId="77777777" w:rsidR="00A85F1F" w:rsidRDefault="00A85F1F" w:rsidP="00964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E257" w14:textId="77777777" w:rsidR="00D70ED6" w:rsidRDefault="00D7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A8C6" w14:textId="2270240D" w:rsidR="00D70ED6" w:rsidRDefault="00D70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C31B" w14:textId="77777777" w:rsidR="00D70ED6" w:rsidRDefault="00D7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92B"/>
    <w:multiLevelType w:val="hybridMultilevel"/>
    <w:tmpl w:val="5F72F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57D50"/>
    <w:multiLevelType w:val="hybridMultilevel"/>
    <w:tmpl w:val="6C62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5405"/>
    <w:multiLevelType w:val="hybridMultilevel"/>
    <w:tmpl w:val="0572511A"/>
    <w:lvl w:ilvl="0" w:tplc="4EEC3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87397"/>
    <w:multiLevelType w:val="hybridMultilevel"/>
    <w:tmpl w:val="71B22618"/>
    <w:lvl w:ilvl="0" w:tplc="7626F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B6DD7"/>
    <w:multiLevelType w:val="hybridMultilevel"/>
    <w:tmpl w:val="86CCB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1E3D48"/>
    <w:multiLevelType w:val="hybridMultilevel"/>
    <w:tmpl w:val="8948F52A"/>
    <w:lvl w:ilvl="0" w:tplc="4EEC3FF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8A775B"/>
    <w:multiLevelType w:val="hybridMultilevel"/>
    <w:tmpl w:val="5334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A64DD"/>
    <w:multiLevelType w:val="hybridMultilevel"/>
    <w:tmpl w:val="669600B4"/>
    <w:lvl w:ilvl="0" w:tplc="7626FC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0483E"/>
    <w:multiLevelType w:val="hybridMultilevel"/>
    <w:tmpl w:val="7AC2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D5CC7"/>
    <w:multiLevelType w:val="hybridMultilevel"/>
    <w:tmpl w:val="FF7C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36FB5"/>
    <w:multiLevelType w:val="hybridMultilevel"/>
    <w:tmpl w:val="8A9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52C49"/>
    <w:multiLevelType w:val="hybridMultilevel"/>
    <w:tmpl w:val="A3A4343E"/>
    <w:lvl w:ilvl="0" w:tplc="7626FCF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8B53B3"/>
    <w:multiLevelType w:val="hybridMultilevel"/>
    <w:tmpl w:val="80608110"/>
    <w:lvl w:ilvl="0" w:tplc="26DAE2D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8A1968"/>
    <w:multiLevelType w:val="hybridMultilevel"/>
    <w:tmpl w:val="0882D2D2"/>
    <w:lvl w:ilvl="0" w:tplc="4EEC3FF2">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D7B5BE1"/>
    <w:multiLevelType w:val="hybridMultilevel"/>
    <w:tmpl w:val="FDA449EC"/>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676270377">
    <w:abstractNumId w:val="9"/>
  </w:num>
  <w:num w:numId="2" w16cid:durableId="476456489">
    <w:abstractNumId w:val="6"/>
  </w:num>
  <w:num w:numId="3" w16cid:durableId="1994063971">
    <w:abstractNumId w:val="11"/>
  </w:num>
  <w:num w:numId="4" w16cid:durableId="2079093029">
    <w:abstractNumId w:val="3"/>
  </w:num>
  <w:num w:numId="5" w16cid:durableId="1723866946">
    <w:abstractNumId w:val="13"/>
  </w:num>
  <w:num w:numId="6" w16cid:durableId="1713924203">
    <w:abstractNumId w:val="7"/>
  </w:num>
  <w:num w:numId="7" w16cid:durableId="1857501023">
    <w:abstractNumId w:val="2"/>
  </w:num>
  <w:num w:numId="8" w16cid:durableId="2105955350">
    <w:abstractNumId w:val="0"/>
  </w:num>
  <w:num w:numId="9" w16cid:durableId="241722638">
    <w:abstractNumId w:val="5"/>
  </w:num>
  <w:num w:numId="10" w16cid:durableId="321273387">
    <w:abstractNumId w:val="8"/>
  </w:num>
  <w:num w:numId="11" w16cid:durableId="1529100585">
    <w:abstractNumId w:val="4"/>
  </w:num>
  <w:num w:numId="12" w16cid:durableId="1538083476">
    <w:abstractNumId w:val="14"/>
  </w:num>
  <w:num w:numId="13" w16cid:durableId="1355688796">
    <w:abstractNumId w:val="12"/>
  </w:num>
  <w:num w:numId="14" w16cid:durableId="884373550">
    <w:abstractNumId w:val="10"/>
  </w:num>
  <w:num w:numId="15" w16cid:durableId="982275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B1"/>
    <w:rsid w:val="00005501"/>
    <w:rsid w:val="00025132"/>
    <w:rsid w:val="000365FE"/>
    <w:rsid w:val="00036CAE"/>
    <w:rsid w:val="000437AF"/>
    <w:rsid w:val="00050A1B"/>
    <w:rsid w:val="00084FBD"/>
    <w:rsid w:val="0011288C"/>
    <w:rsid w:val="00115A6F"/>
    <w:rsid w:val="00167965"/>
    <w:rsid w:val="00170AB8"/>
    <w:rsid w:val="001710FD"/>
    <w:rsid w:val="0017796F"/>
    <w:rsid w:val="00182370"/>
    <w:rsid w:val="001B1EEE"/>
    <w:rsid w:val="001D7D66"/>
    <w:rsid w:val="001E7E05"/>
    <w:rsid w:val="00215F02"/>
    <w:rsid w:val="002840B1"/>
    <w:rsid w:val="002A0572"/>
    <w:rsid w:val="002A3771"/>
    <w:rsid w:val="002F2BBB"/>
    <w:rsid w:val="00300531"/>
    <w:rsid w:val="003068DE"/>
    <w:rsid w:val="003119ED"/>
    <w:rsid w:val="0032052F"/>
    <w:rsid w:val="00340336"/>
    <w:rsid w:val="003701E8"/>
    <w:rsid w:val="00374EE7"/>
    <w:rsid w:val="00394886"/>
    <w:rsid w:val="003A1CDB"/>
    <w:rsid w:val="003A20E7"/>
    <w:rsid w:val="003A41B2"/>
    <w:rsid w:val="003B00AB"/>
    <w:rsid w:val="003F4379"/>
    <w:rsid w:val="00405225"/>
    <w:rsid w:val="00447760"/>
    <w:rsid w:val="0045450A"/>
    <w:rsid w:val="00490E30"/>
    <w:rsid w:val="0049171D"/>
    <w:rsid w:val="00493A96"/>
    <w:rsid w:val="004D2BFF"/>
    <w:rsid w:val="004D4D73"/>
    <w:rsid w:val="004E1C7E"/>
    <w:rsid w:val="004E331D"/>
    <w:rsid w:val="0051087D"/>
    <w:rsid w:val="0052507D"/>
    <w:rsid w:val="005579C1"/>
    <w:rsid w:val="0057553E"/>
    <w:rsid w:val="005A1681"/>
    <w:rsid w:val="005A6C7E"/>
    <w:rsid w:val="005A7371"/>
    <w:rsid w:val="005C0206"/>
    <w:rsid w:val="005C24FE"/>
    <w:rsid w:val="005D5B38"/>
    <w:rsid w:val="006136B0"/>
    <w:rsid w:val="006206F3"/>
    <w:rsid w:val="00637E35"/>
    <w:rsid w:val="00653966"/>
    <w:rsid w:val="006D6EF9"/>
    <w:rsid w:val="006F5BDD"/>
    <w:rsid w:val="00710ABF"/>
    <w:rsid w:val="007245DF"/>
    <w:rsid w:val="00735857"/>
    <w:rsid w:val="00764052"/>
    <w:rsid w:val="00775E14"/>
    <w:rsid w:val="007828E1"/>
    <w:rsid w:val="007A5B22"/>
    <w:rsid w:val="007B7EE2"/>
    <w:rsid w:val="007C195B"/>
    <w:rsid w:val="007E4A40"/>
    <w:rsid w:val="00802A30"/>
    <w:rsid w:val="00830FB5"/>
    <w:rsid w:val="00865D2D"/>
    <w:rsid w:val="008709B5"/>
    <w:rsid w:val="008779F8"/>
    <w:rsid w:val="0088011A"/>
    <w:rsid w:val="00881A3F"/>
    <w:rsid w:val="00887EA0"/>
    <w:rsid w:val="00895D7D"/>
    <w:rsid w:val="008A6E58"/>
    <w:rsid w:val="008D05A9"/>
    <w:rsid w:val="008D291C"/>
    <w:rsid w:val="008E7B41"/>
    <w:rsid w:val="009043F5"/>
    <w:rsid w:val="00904E21"/>
    <w:rsid w:val="00912C16"/>
    <w:rsid w:val="009240CC"/>
    <w:rsid w:val="00926FCE"/>
    <w:rsid w:val="00960C02"/>
    <w:rsid w:val="00963369"/>
    <w:rsid w:val="0096468A"/>
    <w:rsid w:val="009829F2"/>
    <w:rsid w:val="0099086F"/>
    <w:rsid w:val="00993134"/>
    <w:rsid w:val="009A1B80"/>
    <w:rsid w:val="009B060B"/>
    <w:rsid w:val="00A141E7"/>
    <w:rsid w:val="00A16DF1"/>
    <w:rsid w:val="00A23E2F"/>
    <w:rsid w:val="00A33392"/>
    <w:rsid w:val="00A37244"/>
    <w:rsid w:val="00A67CD0"/>
    <w:rsid w:val="00A7254A"/>
    <w:rsid w:val="00A761A9"/>
    <w:rsid w:val="00A85F1F"/>
    <w:rsid w:val="00A958C3"/>
    <w:rsid w:val="00AA6A89"/>
    <w:rsid w:val="00AE657E"/>
    <w:rsid w:val="00B05BA4"/>
    <w:rsid w:val="00B47F73"/>
    <w:rsid w:val="00B638B1"/>
    <w:rsid w:val="00B74C7D"/>
    <w:rsid w:val="00B850D3"/>
    <w:rsid w:val="00B87910"/>
    <w:rsid w:val="00BC5D54"/>
    <w:rsid w:val="00BE06EB"/>
    <w:rsid w:val="00BE79CD"/>
    <w:rsid w:val="00BF51C1"/>
    <w:rsid w:val="00C07B37"/>
    <w:rsid w:val="00C1070E"/>
    <w:rsid w:val="00C14033"/>
    <w:rsid w:val="00C31086"/>
    <w:rsid w:val="00C34237"/>
    <w:rsid w:val="00C403A3"/>
    <w:rsid w:val="00C52A95"/>
    <w:rsid w:val="00C76AF2"/>
    <w:rsid w:val="00CA576B"/>
    <w:rsid w:val="00CC1C32"/>
    <w:rsid w:val="00CC3324"/>
    <w:rsid w:val="00CE2556"/>
    <w:rsid w:val="00D42F70"/>
    <w:rsid w:val="00D50D87"/>
    <w:rsid w:val="00D705B4"/>
    <w:rsid w:val="00D70ED6"/>
    <w:rsid w:val="00D77668"/>
    <w:rsid w:val="00D8406D"/>
    <w:rsid w:val="00D91846"/>
    <w:rsid w:val="00D92F39"/>
    <w:rsid w:val="00DA7459"/>
    <w:rsid w:val="00DB4D2D"/>
    <w:rsid w:val="00DD48B9"/>
    <w:rsid w:val="00DE6D76"/>
    <w:rsid w:val="00DF2BCE"/>
    <w:rsid w:val="00DF7100"/>
    <w:rsid w:val="00E1464B"/>
    <w:rsid w:val="00E42E1C"/>
    <w:rsid w:val="00E6179F"/>
    <w:rsid w:val="00E834ED"/>
    <w:rsid w:val="00EB0E69"/>
    <w:rsid w:val="00EB41BC"/>
    <w:rsid w:val="00EC03C3"/>
    <w:rsid w:val="00ED3678"/>
    <w:rsid w:val="00EE4162"/>
    <w:rsid w:val="00F12F2D"/>
    <w:rsid w:val="00F17883"/>
    <w:rsid w:val="00F6266E"/>
    <w:rsid w:val="00F627B1"/>
    <w:rsid w:val="00F6373A"/>
    <w:rsid w:val="00F807E0"/>
    <w:rsid w:val="00F854A9"/>
    <w:rsid w:val="00F92F08"/>
    <w:rsid w:val="00F96438"/>
    <w:rsid w:val="00F964DD"/>
    <w:rsid w:val="00FA2AF6"/>
    <w:rsid w:val="00FB078A"/>
    <w:rsid w:val="00FB2DD4"/>
    <w:rsid w:val="00FB7CB9"/>
    <w:rsid w:val="00FC2874"/>
    <w:rsid w:val="00FD6A27"/>
    <w:rsid w:val="00FE2352"/>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69A19"/>
  <w15:chartTrackingRefBased/>
  <w15:docId w15:val="{60B11E69-AEDC-4018-9A18-5801053C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5FE"/>
    <w:pPr>
      <w:pBdr>
        <w:top w:val="single" w:sz="4" w:space="1" w:color="auto"/>
        <w:left w:val="single" w:sz="4" w:space="4" w:color="auto"/>
        <w:bottom w:val="single" w:sz="4" w:space="1" w:color="auto"/>
        <w:right w:val="single" w:sz="4" w:space="4" w:color="auto"/>
      </w:pBdr>
      <w:shd w:val="clear" w:color="auto" w:fill="E2EFD9" w:themeFill="accent6" w:themeFillTint="33"/>
      <w:outlineLvl w:val="0"/>
    </w:pPr>
    <w:rPr>
      <w:rFonts w:ascii="Tahoma" w:hAnsi="Tahom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B1"/>
    <w:pPr>
      <w:ind w:left="720"/>
      <w:contextualSpacing/>
    </w:pPr>
  </w:style>
  <w:style w:type="table" w:styleId="TableGrid">
    <w:name w:val="Table Grid"/>
    <w:basedOn w:val="TableNormal"/>
    <w:uiPriority w:val="39"/>
    <w:rsid w:val="0049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3678"/>
    <w:rPr>
      <w:sz w:val="16"/>
      <w:szCs w:val="16"/>
    </w:rPr>
  </w:style>
  <w:style w:type="paragraph" w:styleId="CommentText">
    <w:name w:val="annotation text"/>
    <w:basedOn w:val="Normal"/>
    <w:link w:val="CommentTextChar"/>
    <w:uiPriority w:val="99"/>
    <w:unhideWhenUsed/>
    <w:rsid w:val="00ED3678"/>
    <w:pPr>
      <w:spacing w:line="240" w:lineRule="auto"/>
    </w:pPr>
    <w:rPr>
      <w:sz w:val="20"/>
      <w:szCs w:val="20"/>
    </w:rPr>
  </w:style>
  <w:style w:type="character" w:customStyle="1" w:styleId="CommentTextChar">
    <w:name w:val="Comment Text Char"/>
    <w:basedOn w:val="DefaultParagraphFont"/>
    <w:link w:val="CommentText"/>
    <w:uiPriority w:val="99"/>
    <w:rsid w:val="00ED3678"/>
    <w:rPr>
      <w:sz w:val="20"/>
      <w:szCs w:val="20"/>
    </w:rPr>
  </w:style>
  <w:style w:type="paragraph" w:styleId="CommentSubject">
    <w:name w:val="annotation subject"/>
    <w:basedOn w:val="CommentText"/>
    <w:next w:val="CommentText"/>
    <w:link w:val="CommentSubjectChar"/>
    <w:uiPriority w:val="99"/>
    <w:semiHidden/>
    <w:unhideWhenUsed/>
    <w:rsid w:val="00ED3678"/>
    <w:rPr>
      <w:b/>
      <w:bCs/>
    </w:rPr>
  </w:style>
  <w:style w:type="character" w:customStyle="1" w:styleId="CommentSubjectChar">
    <w:name w:val="Comment Subject Char"/>
    <w:basedOn w:val="CommentTextChar"/>
    <w:link w:val="CommentSubject"/>
    <w:uiPriority w:val="99"/>
    <w:semiHidden/>
    <w:rsid w:val="00ED3678"/>
    <w:rPr>
      <w:b/>
      <w:bCs/>
      <w:sz w:val="20"/>
      <w:szCs w:val="20"/>
    </w:rPr>
  </w:style>
  <w:style w:type="paragraph" w:customStyle="1" w:styleId="Default">
    <w:name w:val="Default"/>
    <w:rsid w:val="00E617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64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68A"/>
  </w:style>
  <w:style w:type="paragraph" w:styleId="Footer">
    <w:name w:val="footer"/>
    <w:basedOn w:val="Normal"/>
    <w:link w:val="FooterChar"/>
    <w:uiPriority w:val="99"/>
    <w:unhideWhenUsed/>
    <w:rsid w:val="00964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68A"/>
  </w:style>
  <w:style w:type="character" w:styleId="Hyperlink">
    <w:name w:val="Hyperlink"/>
    <w:basedOn w:val="DefaultParagraphFont"/>
    <w:uiPriority w:val="99"/>
    <w:unhideWhenUsed/>
    <w:rsid w:val="00BC5D54"/>
    <w:rPr>
      <w:color w:val="0563C1" w:themeColor="hyperlink"/>
      <w:u w:val="single"/>
    </w:rPr>
  </w:style>
  <w:style w:type="character" w:styleId="UnresolvedMention">
    <w:name w:val="Unresolved Mention"/>
    <w:basedOn w:val="DefaultParagraphFont"/>
    <w:uiPriority w:val="99"/>
    <w:semiHidden/>
    <w:unhideWhenUsed/>
    <w:rsid w:val="00BC5D54"/>
    <w:rPr>
      <w:color w:val="605E5C"/>
      <w:shd w:val="clear" w:color="auto" w:fill="E1DFDD"/>
    </w:rPr>
  </w:style>
  <w:style w:type="character" w:customStyle="1" w:styleId="Heading1Char">
    <w:name w:val="Heading 1 Char"/>
    <w:basedOn w:val="DefaultParagraphFont"/>
    <w:link w:val="Heading1"/>
    <w:uiPriority w:val="9"/>
    <w:rsid w:val="000365FE"/>
    <w:rPr>
      <w:rFonts w:ascii="Tahoma" w:hAnsi="Tahoma" w:cs="Tahoma"/>
      <w:b/>
      <w:bCs/>
      <w:sz w:val="23"/>
      <w:szCs w:val="23"/>
      <w:shd w:val="clear" w:color="auto" w:fill="E2EFD9" w:themeFill="accent6" w:themeFillTint="33"/>
    </w:rPr>
  </w:style>
  <w:style w:type="paragraph" w:styleId="TOC1">
    <w:name w:val="toc 1"/>
    <w:basedOn w:val="Normal"/>
    <w:next w:val="Normal"/>
    <w:autoRedefine/>
    <w:uiPriority w:val="39"/>
    <w:unhideWhenUsed/>
    <w:rsid w:val="006539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261">
      <w:bodyDiv w:val="1"/>
      <w:marLeft w:val="0"/>
      <w:marRight w:val="0"/>
      <w:marTop w:val="0"/>
      <w:marBottom w:val="0"/>
      <w:divBdr>
        <w:top w:val="none" w:sz="0" w:space="0" w:color="auto"/>
        <w:left w:val="none" w:sz="0" w:space="0" w:color="auto"/>
        <w:bottom w:val="none" w:sz="0" w:space="0" w:color="auto"/>
        <w:right w:val="none" w:sz="0" w:space="0" w:color="auto"/>
      </w:divBdr>
    </w:div>
    <w:div w:id="75907817">
      <w:bodyDiv w:val="1"/>
      <w:marLeft w:val="0"/>
      <w:marRight w:val="0"/>
      <w:marTop w:val="0"/>
      <w:marBottom w:val="0"/>
      <w:divBdr>
        <w:top w:val="none" w:sz="0" w:space="0" w:color="auto"/>
        <w:left w:val="none" w:sz="0" w:space="0" w:color="auto"/>
        <w:bottom w:val="none" w:sz="0" w:space="0" w:color="auto"/>
        <w:right w:val="none" w:sz="0" w:space="0" w:color="auto"/>
      </w:divBdr>
    </w:div>
    <w:div w:id="144250592">
      <w:bodyDiv w:val="1"/>
      <w:marLeft w:val="0"/>
      <w:marRight w:val="0"/>
      <w:marTop w:val="0"/>
      <w:marBottom w:val="0"/>
      <w:divBdr>
        <w:top w:val="none" w:sz="0" w:space="0" w:color="auto"/>
        <w:left w:val="none" w:sz="0" w:space="0" w:color="auto"/>
        <w:bottom w:val="none" w:sz="0" w:space="0" w:color="auto"/>
        <w:right w:val="none" w:sz="0" w:space="0" w:color="auto"/>
      </w:divBdr>
      <w:divsChild>
        <w:div w:id="845246030">
          <w:marLeft w:val="0"/>
          <w:marRight w:val="0"/>
          <w:marTop w:val="0"/>
          <w:marBottom w:val="0"/>
          <w:divBdr>
            <w:top w:val="none" w:sz="0" w:space="0" w:color="auto"/>
            <w:left w:val="none" w:sz="0" w:space="0" w:color="auto"/>
            <w:bottom w:val="none" w:sz="0" w:space="0" w:color="auto"/>
            <w:right w:val="none" w:sz="0" w:space="0" w:color="auto"/>
          </w:divBdr>
          <w:divsChild>
            <w:div w:id="1968117866">
              <w:marLeft w:val="0"/>
              <w:marRight w:val="0"/>
              <w:marTop w:val="0"/>
              <w:marBottom w:val="0"/>
              <w:divBdr>
                <w:top w:val="none" w:sz="0" w:space="0" w:color="auto"/>
                <w:left w:val="none" w:sz="0" w:space="0" w:color="auto"/>
                <w:bottom w:val="none" w:sz="0" w:space="0" w:color="auto"/>
                <w:right w:val="none" w:sz="0" w:space="0" w:color="auto"/>
              </w:divBdr>
              <w:divsChild>
                <w:div w:id="112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708">
          <w:marLeft w:val="0"/>
          <w:marRight w:val="0"/>
          <w:marTop w:val="0"/>
          <w:marBottom w:val="0"/>
          <w:divBdr>
            <w:top w:val="none" w:sz="0" w:space="0" w:color="auto"/>
            <w:left w:val="none" w:sz="0" w:space="0" w:color="auto"/>
            <w:bottom w:val="none" w:sz="0" w:space="0" w:color="auto"/>
            <w:right w:val="none" w:sz="0" w:space="0" w:color="auto"/>
          </w:divBdr>
          <w:divsChild>
            <w:div w:id="1250579351">
              <w:marLeft w:val="0"/>
              <w:marRight w:val="0"/>
              <w:marTop w:val="0"/>
              <w:marBottom w:val="0"/>
              <w:divBdr>
                <w:top w:val="none" w:sz="0" w:space="0" w:color="auto"/>
                <w:left w:val="none" w:sz="0" w:space="0" w:color="auto"/>
                <w:bottom w:val="none" w:sz="0" w:space="0" w:color="auto"/>
                <w:right w:val="none" w:sz="0" w:space="0" w:color="auto"/>
              </w:divBdr>
              <w:divsChild>
                <w:div w:id="11823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312">
          <w:marLeft w:val="0"/>
          <w:marRight w:val="0"/>
          <w:marTop w:val="0"/>
          <w:marBottom w:val="0"/>
          <w:divBdr>
            <w:top w:val="none" w:sz="0" w:space="0" w:color="auto"/>
            <w:left w:val="none" w:sz="0" w:space="0" w:color="auto"/>
            <w:bottom w:val="none" w:sz="0" w:space="0" w:color="auto"/>
            <w:right w:val="none" w:sz="0" w:space="0" w:color="auto"/>
          </w:divBdr>
          <w:divsChild>
            <w:div w:id="640571986">
              <w:marLeft w:val="0"/>
              <w:marRight w:val="0"/>
              <w:marTop w:val="0"/>
              <w:marBottom w:val="0"/>
              <w:divBdr>
                <w:top w:val="none" w:sz="0" w:space="0" w:color="auto"/>
                <w:left w:val="none" w:sz="0" w:space="0" w:color="auto"/>
                <w:bottom w:val="none" w:sz="0" w:space="0" w:color="auto"/>
                <w:right w:val="none" w:sz="0" w:space="0" w:color="auto"/>
              </w:divBdr>
              <w:divsChild>
                <w:div w:id="19996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521">
          <w:marLeft w:val="0"/>
          <w:marRight w:val="0"/>
          <w:marTop w:val="0"/>
          <w:marBottom w:val="0"/>
          <w:divBdr>
            <w:top w:val="none" w:sz="0" w:space="0" w:color="auto"/>
            <w:left w:val="none" w:sz="0" w:space="0" w:color="auto"/>
            <w:bottom w:val="none" w:sz="0" w:space="0" w:color="auto"/>
            <w:right w:val="none" w:sz="0" w:space="0" w:color="auto"/>
          </w:divBdr>
          <w:divsChild>
            <w:div w:id="2317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422">
      <w:bodyDiv w:val="1"/>
      <w:marLeft w:val="0"/>
      <w:marRight w:val="0"/>
      <w:marTop w:val="0"/>
      <w:marBottom w:val="0"/>
      <w:divBdr>
        <w:top w:val="none" w:sz="0" w:space="0" w:color="auto"/>
        <w:left w:val="none" w:sz="0" w:space="0" w:color="auto"/>
        <w:bottom w:val="none" w:sz="0" w:space="0" w:color="auto"/>
        <w:right w:val="none" w:sz="0" w:space="0" w:color="auto"/>
      </w:divBdr>
      <w:divsChild>
        <w:div w:id="1319845962">
          <w:marLeft w:val="0"/>
          <w:marRight w:val="0"/>
          <w:marTop w:val="0"/>
          <w:marBottom w:val="0"/>
          <w:divBdr>
            <w:top w:val="none" w:sz="0" w:space="0" w:color="auto"/>
            <w:left w:val="none" w:sz="0" w:space="0" w:color="auto"/>
            <w:bottom w:val="none" w:sz="0" w:space="0" w:color="auto"/>
            <w:right w:val="none" w:sz="0" w:space="0" w:color="auto"/>
          </w:divBdr>
          <w:divsChild>
            <w:div w:id="664280892">
              <w:marLeft w:val="0"/>
              <w:marRight w:val="0"/>
              <w:marTop w:val="0"/>
              <w:marBottom w:val="0"/>
              <w:divBdr>
                <w:top w:val="none" w:sz="0" w:space="0" w:color="auto"/>
                <w:left w:val="none" w:sz="0" w:space="0" w:color="auto"/>
                <w:bottom w:val="none" w:sz="0" w:space="0" w:color="auto"/>
                <w:right w:val="none" w:sz="0" w:space="0" w:color="auto"/>
              </w:divBdr>
              <w:divsChild>
                <w:div w:id="11783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5212">
          <w:marLeft w:val="0"/>
          <w:marRight w:val="0"/>
          <w:marTop w:val="0"/>
          <w:marBottom w:val="0"/>
          <w:divBdr>
            <w:top w:val="none" w:sz="0" w:space="0" w:color="auto"/>
            <w:left w:val="none" w:sz="0" w:space="0" w:color="auto"/>
            <w:bottom w:val="none" w:sz="0" w:space="0" w:color="auto"/>
            <w:right w:val="none" w:sz="0" w:space="0" w:color="auto"/>
          </w:divBdr>
          <w:divsChild>
            <w:div w:id="19122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6652">
      <w:bodyDiv w:val="1"/>
      <w:marLeft w:val="0"/>
      <w:marRight w:val="0"/>
      <w:marTop w:val="0"/>
      <w:marBottom w:val="0"/>
      <w:divBdr>
        <w:top w:val="none" w:sz="0" w:space="0" w:color="auto"/>
        <w:left w:val="none" w:sz="0" w:space="0" w:color="auto"/>
        <w:bottom w:val="none" w:sz="0" w:space="0" w:color="auto"/>
        <w:right w:val="none" w:sz="0" w:space="0" w:color="auto"/>
      </w:divBdr>
    </w:div>
    <w:div w:id="629288254">
      <w:bodyDiv w:val="1"/>
      <w:marLeft w:val="0"/>
      <w:marRight w:val="0"/>
      <w:marTop w:val="0"/>
      <w:marBottom w:val="0"/>
      <w:divBdr>
        <w:top w:val="none" w:sz="0" w:space="0" w:color="auto"/>
        <w:left w:val="none" w:sz="0" w:space="0" w:color="auto"/>
        <w:bottom w:val="none" w:sz="0" w:space="0" w:color="auto"/>
        <w:right w:val="none" w:sz="0" w:space="0" w:color="auto"/>
      </w:divBdr>
    </w:div>
    <w:div w:id="677125005">
      <w:bodyDiv w:val="1"/>
      <w:marLeft w:val="0"/>
      <w:marRight w:val="0"/>
      <w:marTop w:val="0"/>
      <w:marBottom w:val="0"/>
      <w:divBdr>
        <w:top w:val="none" w:sz="0" w:space="0" w:color="auto"/>
        <w:left w:val="none" w:sz="0" w:space="0" w:color="auto"/>
        <w:bottom w:val="none" w:sz="0" w:space="0" w:color="auto"/>
        <w:right w:val="none" w:sz="0" w:space="0" w:color="auto"/>
      </w:divBdr>
    </w:div>
    <w:div w:id="1006713231">
      <w:bodyDiv w:val="1"/>
      <w:marLeft w:val="0"/>
      <w:marRight w:val="0"/>
      <w:marTop w:val="0"/>
      <w:marBottom w:val="0"/>
      <w:divBdr>
        <w:top w:val="none" w:sz="0" w:space="0" w:color="auto"/>
        <w:left w:val="none" w:sz="0" w:space="0" w:color="auto"/>
        <w:bottom w:val="none" w:sz="0" w:space="0" w:color="auto"/>
        <w:right w:val="none" w:sz="0" w:space="0" w:color="auto"/>
      </w:divBdr>
      <w:divsChild>
        <w:div w:id="2062897753">
          <w:marLeft w:val="0"/>
          <w:marRight w:val="0"/>
          <w:marTop w:val="0"/>
          <w:marBottom w:val="0"/>
          <w:divBdr>
            <w:top w:val="none" w:sz="0" w:space="0" w:color="auto"/>
            <w:left w:val="none" w:sz="0" w:space="0" w:color="auto"/>
            <w:bottom w:val="none" w:sz="0" w:space="0" w:color="auto"/>
            <w:right w:val="none" w:sz="0" w:space="0" w:color="auto"/>
          </w:divBdr>
          <w:divsChild>
            <w:div w:id="273558721">
              <w:marLeft w:val="0"/>
              <w:marRight w:val="0"/>
              <w:marTop w:val="0"/>
              <w:marBottom w:val="0"/>
              <w:divBdr>
                <w:top w:val="single" w:sz="48" w:space="0" w:color="FFFFFF"/>
                <w:left w:val="none" w:sz="0" w:space="0" w:color="auto"/>
                <w:bottom w:val="single" w:sz="48" w:space="0" w:color="FFFFFF"/>
                <w:right w:val="none" w:sz="0" w:space="0" w:color="auto"/>
              </w:divBdr>
              <w:divsChild>
                <w:div w:id="1322387921">
                  <w:marLeft w:val="0"/>
                  <w:marRight w:val="0"/>
                  <w:marTop w:val="0"/>
                  <w:marBottom w:val="0"/>
                  <w:divBdr>
                    <w:top w:val="none" w:sz="0" w:space="0" w:color="auto"/>
                    <w:left w:val="none" w:sz="0" w:space="0" w:color="auto"/>
                    <w:bottom w:val="none" w:sz="0" w:space="0" w:color="auto"/>
                    <w:right w:val="none" w:sz="0" w:space="0" w:color="auto"/>
                  </w:divBdr>
                  <w:divsChild>
                    <w:div w:id="1016930581">
                      <w:marLeft w:val="0"/>
                      <w:marRight w:val="0"/>
                      <w:marTop w:val="0"/>
                      <w:marBottom w:val="0"/>
                      <w:divBdr>
                        <w:top w:val="none" w:sz="0" w:space="0" w:color="auto"/>
                        <w:left w:val="none" w:sz="0" w:space="0" w:color="auto"/>
                        <w:bottom w:val="none" w:sz="0" w:space="0" w:color="auto"/>
                        <w:right w:val="none" w:sz="0" w:space="0" w:color="auto"/>
                      </w:divBdr>
                      <w:divsChild>
                        <w:div w:id="1079444518">
                          <w:marLeft w:val="0"/>
                          <w:marRight w:val="0"/>
                          <w:marTop w:val="0"/>
                          <w:marBottom w:val="0"/>
                          <w:divBdr>
                            <w:top w:val="none" w:sz="0" w:space="0" w:color="auto"/>
                            <w:left w:val="none" w:sz="0" w:space="0" w:color="auto"/>
                            <w:bottom w:val="none" w:sz="0" w:space="0" w:color="auto"/>
                            <w:right w:val="none" w:sz="0" w:space="0" w:color="auto"/>
                          </w:divBdr>
                          <w:divsChild>
                            <w:div w:id="16778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9583">
                      <w:marLeft w:val="0"/>
                      <w:marRight w:val="0"/>
                      <w:marTop w:val="0"/>
                      <w:marBottom w:val="0"/>
                      <w:divBdr>
                        <w:top w:val="none" w:sz="0" w:space="0" w:color="auto"/>
                        <w:left w:val="none" w:sz="0" w:space="0" w:color="auto"/>
                        <w:bottom w:val="none" w:sz="0" w:space="0" w:color="auto"/>
                        <w:right w:val="none" w:sz="0" w:space="0" w:color="auto"/>
                      </w:divBdr>
                      <w:divsChild>
                        <w:div w:id="1132867345">
                          <w:marLeft w:val="0"/>
                          <w:marRight w:val="0"/>
                          <w:marTop w:val="0"/>
                          <w:marBottom w:val="0"/>
                          <w:divBdr>
                            <w:top w:val="none" w:sz="0" w:space="0" w:color="auto"/>
                            <w:left w:val="none" w:sz="0" w:space="0" w:color="auto"/>
                            <w:bottom w:val="none" w:sz="0" w:space="0" w:color="auto"/>
                            <w:right w:val="none" w:sz="0" w:space="0" w:color="auto"/>
                          </w:divBdr>
                          <w:divsChild>
                            <w:div w:id="9539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695">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sChild>
                            <w:div w:id="6659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735">
                      <w:marLeft w:val="0"/>
                      <w:marRight w:val="0"/>
                      <w:marTop w:val="0"/>
                      <w:marBottom w:val="0"/>
                      <w:divBdr>
                        <w:top w:val="none" w:sz="0" w:space="0" w:color="auto"/>
                        <w:left w:val="none" w:sz="0" w:space="0" w:color="auto"/>
                        <w:bottom w:val="none" w:sz="0" w:space="0" w:color="auto"/>
                        <w:right w:val="none" w:sz="0" w:space="0" w:color="auto"/>
                      </w:divBdr>
                      <w:divsChild>
                        <w:div w:id="386221712">
                          <w:marLeft w:val="0"/>
                          <w:marRight w:val="0"/>
                          <w:marTop w:val="0"/>
                          <w:marBottom w:val="0"/>
                          <w:divBdr>
                            <w:top w:val="none" w:sz="0" w:space="0" w:color="auto"/>
                            <w:left w:val="none" w:sz="0" w:space="0" w:color="auto"/>
                            <w:bottom w:val="none" w:sz="0" w:space="0" w:color="auto"/>
                            <w:right w:val="none" w:sz="0" w:space="0" w:color="auto"/>
                          </w:divBdr>
                          <w:divsChild>
                            <w:div w:id="5593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1292">
                      <w:marLeft w:val="0"/>
                      <w:marRight w:val="0"/>
                      <w:marTop w:val="0"/>
                      <w:marBottom w:val="0"/>
                      <w:divBdr>
                        <w:top w:val="none" w:sz="0" w:space="0" w:color="auto"/>
                        <w:left w:val="none" w:sz="0" w:space="0" w:color="auto"/>
                        <w:bottom w:val="none" w:sz="0" w:space="0" w:color="auto"/>
                        <w:right w:val="none" w:sz="0" w:space="0" w:color="auto"/>
                      </w:divBdr>
                      <w:divsChild>
                        <w:div w:id="1544512974">
                          <w:marLeft w:val="0"/>
                          <w:marRight w:val="0"/>
                          <w:marTop w:val="0"/>
                          <w:marBottom w:val="0"/>
                          <w:divBdr>
                            <w:top w:val="none" w:sz="0" w:space="0" w:color="auto"/>
                            <w:left w:val="none" w:sz="0" w:space="0" w:color="auto"/>
                            <w:bottom w:val="none" w:sz="0" w:space="0" w:color="auto"/>
                            <w:right w:val="none" w:sz="0" w:space="0" w:color="auto"/>
                          </w:divBdr>
                          <w:divsChild>
                            <w:div w:id="861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305">
                      <w:marLeft w:val="0"/>
                      <w:marRight w:val="0"/>
                      <w:marTop w:val="0"/>
                      <w:marBottom w:val="0"/>
                      <w:divBdr>
                        <w:top w:val="none" w:sz="0" w:space="0" w:color="auto"/>
                        <w:left w:val="none" w:sz="0" w:space="0" w:color="auto"/>
                        <w:bottom w:val="none" w:sz="0" w:space="0" w:color="auto"/>
                        <w:right w:val="none" w:sz="0" w:space="0" w:color="auto"/>
                      </w:divBdr>
                      <w:divsChild>
                        <w:div w:id="429546569">
                          <w:marLeft w:val="0"/>
                          <w:marRight w:val="0"/>
                          <w:marTop w:val="0"/>
                          <w:marBottom w:val="0"/>
                          <w:divBdr>
                            <w:top w:val="none" w:sz="0" w:space="0" w:color="auto"/>
                            <w:left w:val="none" w:sz="0" w:space="0" w:color="auto"/>
                            <w:bottom w:val="none" w:sz="0" w:space="0" w:color="auto"/>
                            <w:right w:val="none" w:sz="0" w:space="0" w:color="auto"/>
                          </w:divBdr>
                          <w:divsChild>
                            <w:div w:id="11487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70138">
          <w:marLeft w:val="0"/>
          <w:marRight w:val="0"/>
          <w:marTop w:val="0"/>
          <w:marBottom w:val="0"/>
          <w:divBdr>
            <w:top w:val="none" w:sz="0" w:space="0" w:color="auto"/>
            <w:left w:val="none" w:sz="0" w:space="0" w:color="auto"/>
            <w:bottom w:val="none" w:sz="0" w:space="0" w:color="auto"/>
            <w:right w:val="none" w:sz="0" w:space="0" w:color="auto"/>
          </w:divBdr>
          <w:divsChild>
            <w:div w:id="1759981170">
              <w:marLeft w:val="0"/>
              <w:marRight w:val="0"/>
              <w:marTop w:val="0"/>
              <w:marBottom w:val="0"/>
              <w:divBdr>
                <w:top w:val="single" w:sz="48" w:space="0" w:color="FFFFFF"/>
                <w:left w:val="none" w:sz="0" w:space="0" w:color="auto"/>
                <w:bottom w:val="single" w:sz="48" w:space="0" w:color="FFFFFF"/>
                <w:right w:val="none" w:sz="0" w:space="0" w:color="auto"/>
              </w:divBdr>
              <w:divsChild>
                <w:div w:id="726953701">
                  <w:marLeft w:val="0"/>
                  <w:marRight w:val="0"/>
                  <w:marTop w:val="0"/>
                  <w:marBottom w:val="0"/>
                  <w:divBdr>
                    <w:top w:val="none" w:sz="0" w:space="0" w:color="auto"/>
                    <w:left w:val="none" w:sz="0" w:space="0" w:color="auto"/>
                    <w:bottom w:val="none" w:sz="0" w:space="0" w:color="auto"/>
                    <w:right w:val="none" w:sz="0" w:space="0" w:color="auto"/>
                  </w:divBdr>
                  <w:divsChild>
                    <w:div w:id="1640333151">
                      <w:marLeft w:val="0"/>
                      <w:marRight w:val="0"/>
                      <w:marTop w:val="0"/>
                      <w:marBottom w:val="0"/>
                      <w:divBdr>
                        <w:top w:val="none" w:sz="0" w:space="0" w:color="auto"/>
                        <w:left w:val="none" w:sz="0" w:space="0" w:color="auto"/>
                        <w:bottom w:val="none" w:sz="0" w:space="0" w:color="auto"/>
                        <w:right w:val="none" w:sz="0" w:space="0" w:color="auto"/>
                      </w:divBdr>
                      <w:divsChild>
                        <w:div w:id="471950509">
                          <w:marLeft w:val="0"/>
                          <w:marRight w:val="0"/>
                          <w:marTop w:val="0"/>
                          <w:marBottom w:val="0"/>
                          <w:divBdr>
                            <w:top w:val="none" w:sz="0" w:space="0" w:color="auto"/>
                            <w:left w:val="none" w:sz="0" w:space="0" w:color="auto"/>
                            <w:bottom w:val="none" w:sz="0" w:space="0" w:color="auto"/>
                            <w:right w:val="none" w:sz="0" w:space="0" w:color="auto"/>
                          </w:divBdr>
                          <w:divsChild>
                            <w:div w:id="12995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8908">
                      <w:marLeft w:val="0"/>
                      <w:marRight w:val="0"/>
                      <w:marTop w:val="0"/>
                      <w:marBottom w:val="0"/>
                      <w:divBdr>
                        <w:top w:val="none" w:sz="0" w:space="0" w:color="auto"/>
                        <w:left w:val="none" w:sz="0" w:space="0" w:color="auto"/>
                        <w:bottom w:val="none" w:sz="0" w:space="0" w:color="auto"/>
                        <w:right w:val="none" w:sz="0" w:space="0" w:color="auto"/>
                      </w:divBdr>
                      <w:divsChild>
                        <w:div w:id="1968008676">
                          <w:marLeft w:val="0"/>
                          <w:marRight w:val="0"/>
                          <w:marTop w:val="0"/>
                          <w:marBottom w:val="0"/>
                          <w:divBdr>
                            <w:top w:val="none" w:sz="0" w:space="0" w:color="auto"/>
                            <w:left w:val="none" w:sz="0" w:space="0" w:color="auto"/>
                            <w:bottom w:val="none" w:sz="0" w:space="0" w:color="auto"/>
                            <w:right w:val="none" w:sz="0" w:space="0" w:color="auto"/>
                          </w:divBdr>
                          <w:divsChild>
                            <w:div w:id="3420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55425">
          <w:marLeft w:val="0"/>
          <w:marRight w:val="0"/>
          <w:marTop w:val="0"/>
          <w:marBottom w:val="0"/>
          <w:divBdr>
            <w:top w:val="none" w:sz="0" w:space="0" w:color="auto"/>
            <w:left w:val="none" w:sz="0" w:space="0" w:color="auto"/>
            <w:bottom w:val="none" w:sz="0" w:space="0" w:color="auto"/>
            <w:right w:val="none" w:sz="0" w:space="0" w:color="auto"/>
          </w:divBdr>
          <w:divsChild>
            <w:div w:id="1740051524">
              <w:marLeft w:val="0"/>
              <w:marRight w:val="0"/>
              <w:marTop w:val="0"/>
              <w:marBottom w:val="0"/>
              <w:divBdr>
                <w:top w:val="single" w:sz="48" w:space="0" w:color="FFFFFF"/>
                <w:left w:val="none" w:sz="0" w:space="0" w:color="auto"/>
                <w:bottom w:val="single" w:sz="48" w:space="0" w:color="FFFFFF"/>
                <w:right w:val="none" w:sz="0" w:space="0" w:color="auto"/>
              </w:divBdr>
              <w:divsChild>
                <w:div w:id="2021275107">
                  <w:marLeft w:val="0"/>
                  <w:marRight w:val="0"/>
                  <w:marTop w:val="0"/>
                  <w:marBottom w:val="0"/>
                  <w:divBdr>
                    <w:top w:val="none" w:sz="0" w:space="0" w:color="auto"/>
                    <w:left w:val="none" w:sz="0" w:space="0" w:color="auto"/>
                    <w:bottom w:val="none" w:sz="0" w:space="0" w:color="auto"/>
                    <w:right w:val="none" w:sz="0" w:space="0" w:color="auto"/>
                  </w:divBdr>
                  <w:divsChild>
                    <w:div w:id="1185632498">
                      <w:marLeft w:val="0"/>
                      <w:marRight w:val="0"/>
                      <w:marTop w:val="0"/>
                      <w:marBottom w:val="0"/>
                      <w:divBdr>
                        <w:top w:val="none" w:sz="0" w:space="0" w:color="auto"/>
                        <w:left w:val="none" w:sz="0" w:space="0" w:color="auto"/>
                        <w:bottom w:val="none" w:sz="0" w:space="0" w:color="auto"/>
                        <w:right w:val="none" w:sz="0" w:space="0" w:color="auto"/>
                      </w:divBdr>
                      <w:divsChild>
                        <w:div w:id="2060545303">
                          <w:marLeft w:val="0"/>
                          <w:marRight w:val="0"/>
                          <w:marTop w:val="0"/>
                          <w:marBottom w:val="0"/>
                          <w:divBdr>
                            <w:top w:val="none" w:sz="0" w:space="0" w:color="auto"/>
                            <w:left w:val="none" w:sz="0" w:space="0" w:color="auto"/>
                            <w:bottom w:val="none" w:sz="0" w:space="0" w:color="auto"/>
                            <w:right w:val="none" w:sz="0" w:space="0" w:color="auto"/>
                          </w:divBdr>
                          <w:divsChild>
                            <w:div w:id="15656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0675">
                      <w:marLeft w:val="0"/>
                      <w:marRight w:val="0"/>
                      <w:marTop w:val="0"/>
                      <w:marBottom w:val="0"/>
                      <w:divBdr>
                        <w:top w:val="none" w:sz="0" w:space="0" w:color="auto"/>
                        <w:left w:val="none" w:sz="0" w:space="0" w:color="auto"/>
                        <w:bottom w:val="none" w:sz="0" w:space="0" w:color="auto"/>
                        <w:right w:val="none" w:sz="0" w:space="0" w:color="auto"/>
                      </w:divBdr>
                      <w:divsChild>
                        <w:div w:id="2113697345">
                          <w:marLeft w:val="0"/>
                          <w:marRight w:val="0"/>
                          <w:marTop w:val="0"/>
                          <w:marBottom w:val="0"/>
                          <w:divBdr>
                            <w:top w:val="none" w:sz="0" w:space="0" w:color="auto"/>
                            <w:left w:val="none" w:sz="0" w:space="0" w:color="auto"/>
                            <w:bottom w:val="none" w:sz="0" w:space="0" w:color="auto"/>
                            <w:right w:val="none" w:sz="0" w:space="0" w:color="auto"/>
                          </w:divBdr>
                          <w:divsChild>
                            <w:div w:id="863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6967">
                      <w:marLeft w:val="0"/>
                      <w:marRight w:val="0"/>
                      <w:marTop w:val="0"/>
                      <w:marBottom w:val="0"/>
                      <w:divBdr>
                        <w:top w:val="none" w:sz="0" w:space="0" w:color="auto"/>
                        <w:left w:val="none" w:sz="0" w:space="0" w:color="auto"/>
                        <w:bottom w:val="none" w:sz="0" w:space="0" w:color="auto"/>
                        <w:right w:val="none" w:sz="0" w:space="0" w:color="auto"/>
                      </w:divBdr>
                      <w:divsChild>
                        <w:div w:id="5684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42659">
      <w:bodyDiv w:val="1"/>
      <w:marLeft w:val="0"/>
      <w:marRight w:val="0"/>
      <w:marTop w:val="0"/>
      <w:marBottom w:val="0"/>
      <w:divBdr>
        <w:top w:val="none" w:sz="0" w:space="0" w:color="auto"/>
        <w:left w:val="none" w:sz="0" w:space="0" w:color="auto"/>
        <w:bottom w:val="none" w:sz="0" w:space="0" w:color="auto"/>
        <w:right w:val="none" w:sz="0" w:space="0" w:color="auto"/>
      </w:divBdr>
    </w:div>
    <w:div w:id="1180193565">
      <w:bodyDiv w:val="1"/>
      <w:marLeft w:val="0"/>
      <w:marRight w:val="0"/>
      <w:marTop w:val="0"/>
      <w:marBottom w:val="0"/>
      <w:divBdr>
        <w:top w:val="none" w:sz="0" w:space="0" w:color="auto"/>
        <w:left w:val="none" w:sz="0" w:space="0" w:color="auto"/>
        <w:bottom w:val="none" w:sz="0" w:space="0" w:color="auto"/>
        <w:right w:val="none" w:sz="0" w:space="0" w:color="auto"/>
      </w:divBdr>
    </w:div>
    <w:div w:id="1270090523">
      <w:bodyDiv w:val="1"/>
      <w:marLeft w:val="0"/>
      <w:marRight w:val="0"/>
      <w:marTop w:val="0"/>
      <w:marBottom w:val="0"/>
      <w:divBdr>
        <w:top w:val="none" w:sz="0" w:space="0" w:color="auto"/>
        <w:left w:val="none" w:sz="0" w:space="0" w:color="auto"/>
        <w:bottom w:val="none" w:sz="0" w:space="0" w:color="auto"/>
        <w:right w:val="none" w:sz="0" w:space="0" w:color="auto"/>
      </w:divBdr>
    </w:div>
    <w:div w:id="1280182811">
      <w:bodyDiv w:val="1"/>
      <w:marLeft w:val="0"/>
      <w:marRight w:val="0"/>
      <w:marTop w:val="0"/>
      <w:marBottom w:val="0"/>
      <w:divBdr>
        <w:top w:val="none" w:sz="0" w:space="0" w:color="auto"/>
        <w:left w:val="none" w:sz="0" w:space="0" w:color="auto"/>
        <w:bottom w:val="none" w:sz="0" w:space="0" w:color="auto"/>
        <w:right w:val="none" w:sz="0" w:space="0" w:color="auto"/>
      </w:divBdr>
    </w:div>
    <w:div w:id="1409383603">
      <w:bodyDiv w:val="1"/>
      <w:marLeft w:val="0"/>
      <w:marRight w:val="0"/>
      <w:marTop w:val="0"/>
      <w:marBottom w:val="0"/>
      <w:divBdr>
        <w:top w:val="none" w:sz="0" w:space="0" w:color="auto"/>
        <w:left w:val="none" w:sz="0" w:space="0" w:color="auto"/>
        <w:bottom w:val="none" w:sz="0" w:space="0" w:color="auto"/>
        <w:right w:val="none" w:sz="0" w:space="0" w:color="auto"/>
      </w:divBdr>
    </w:div>
    <w:div w:id="1432507487">
      <w:bodyDiv w:val="1"/>
      <w:marLeft w:val="0"/>
      <w:marRight w:val="0"/>
      <w:marTop w:val="0"/>
      <w:marBottom w:val="0"/>
      <w:divBdr>
        <w:top w:val="none" w:sz="0" w:space="0" w:color="auto"/>
        <w:left w:val="none" w:sz="0" w:space="0" w:color="auto"/>
        <w:bottom w:val="none" w:sz="0" w:space="0" w:color="auto"/>
        <w:right w:val="none" w:sz="0" w:space="0" w:color="auto"/>
      </w:divBdr>
    </w:div>
    <w:div w:id="1766262236">
      <w:bodyDiv w:val="1"/>
      <w:marLeft w:val="0"/>
      <w:marRight w:val="0"/>
      <w:marTop w:val="0"/>
      <w:marBottom w:val="0"/>
      <w:divBdr>
        <w:top w:val="none" w:sz="0" w:space="0" w:color="auto"/>
        <w:left w:val="none" w:sz="0" w:space="0" w:color="auto"/>
        <w:bottom w:val="none" w:sz="0" w:space="0" w:color="auto"/>
        <w:right w:val="none" w:sz="0" w:space="0" w:color="auto"/>
      </w:divBdr>
      <w:divsChild>
        <w:div w:id="1102190148">
          <w:marLeft w:val="0"/>
          <w:marRight w:val="0"/>
          <w:marTop w:val="0"/>
          <w:marBottom w:val="0"/>
          <w:divBdr>
            <w:top w:val="none" w:sz="0" w:space="0" w:color="auto"/>
            <w:left w:val="none" w:sz="0" w:space="0" w:color="auto"/>
            <w:bottom w:val="none" w:sz="0" w:space="0" w:color="auto"/>
            <w:right w:val="none" w:sz="0" w:space="0" w:color="auto"/>
          </w:divBdr>
          <w:divsChild>
            <w:div w:id="14113143">
              <w:marLeft w:val="0"/>
              <w:marRight w:val="0"/>
              <w:marTop w:val="0"/>
              <w:marBottom w:val="0"/>
              <w:divBdr>
                <w:top w:val="none" w:sz="0" w:space="0" w:color="auto"/>
                <w:left w:val="none" w:sz="0" w:space="0" w:color="auto"/>
                <w:bottom w:val="none" w:sz="0" w:space="0" w:color="auto"/>
                <w:right w:val="none" w:sz="0" w:space="0" w:color="auto"/>
              </w:divBdr>
              <w:divsChild>
                <w:div w:id="2127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952">
          <w:marLeft w:val="0"/>
          <w:marRight w:val="0"/>
          <w:marTop w:val="0"/>
          <w:marBottom w:val="0"/>
          <w:divBdr>
            <w:top w:val="none" w:sz="0" w:space="0" w:color="auto"/>
            <w:left w:val="none" w:sz="0" w:space="0" w:color="auto"/>
            <w:bottom w:val="none" w:sz="0" w:space="0" w:color="auto"/>
            <w:right w:val="none" w:sz="0" w:space="0" w:color="auto"/>
          </w:divBdr>
          <w:divsChild>
            <w:div w:id="1887066959">
              <w:marLeft w:val="0"/>
              <w:marRight w:val="0"/>
              <w:marTop w:val="0"/>
              <w:marBottom w:val="0"/>
              <w:divBdr>
                <w:top w:val="none" w:sz="0" w:space="0" w:color="auto"/>
                <w:left w:val="none" w:sz="0" w:space="0" w:color="auto"/>
                <w:bottom w:val="none" w:sz="0" w:space="0" w:color="auto"/>
                <w:right w:val="none" w:sz="0" w:space="0" w:color="auto"/>
              </w:divBdr>
              <w:divsChild>
                <w:div w:id="926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4074">
          <w:marLeft w:val="0"/>
          <w:marRight w:val="0"/>
          <w:marTop w:val="0"/>
          <w:marBottom w:val="0"/>
          <w:divBdr>
            <w:top w:val="none" w:sz="0" w:space="0" w:color="auto"/>
            <w:left w:val="none" w:sz="0" w:space="0" w:color="auto"/>
            <w:bottom w:val="none" w:sz="0" w:space="0" w:color="auto"/>
            <w:right w:val="none" w:sz="0" w:space="0" w:color="auto"/>
          </w:divBdr>
          <w:divsChild>
            <w:div w:id="1752006109">
              <w:marLeft w:val="0"/>
              <w:marRight w:val="0"/>
              <w:marTop w:val="0"/>
              <w:marBottom w:val="0"/>
              <w:divBdr>
                <w:top w:val="none" w:sz="0" w:space="0" w:color="auto"/>
                <w:left w:val="none" w:sz="0" w:space="0" w:color="auto"/>
                <w:bottom w:val="none" w:sz="0" w:space="0" w:color="auto"/>
                <w:right w:val="none" w:sz="0" w:space="0" w:color="auto"/>
              </w:divBdr>
              <w:divsChild>
                <w:div w:id="1951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822">
          <w:marLeft w:val="0"/>
          <w:marRight w:val="0"/>
          <w:marTop w:val="0"/>
          <w:marBottom w:val="0"/>
          <w:divBdr>
            <w:top w:val="none" w:sz="0" w:space="0" w:color="auto"/>
            <w:left w:val="none" w:sz="0" w:space="0" w:color="auto"/>
            <w:bottom w:val="none" w:sz="0" w:space="0" w:color="auto"/>
            <w:right w:val="none" w:sz="0" w:space="0" w:color="auto"/>
          </w:divBdr>
          <w:divsChild>
            <w:div w:id="279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230">
      <w:bodyDiv w:val="1"/>
      <w:marLeft w:val="0"/>
      <w:marRight w:val="0"/>
      <w:marTop w:val="0"/>
      <w:marBottom w:val="0"/>
      <w:divBdr>
        <w:top w:val="none" w:sz="0" w:space="0" w:color="auto"/>
        <w:left w:val="none" w:sz="0" w:space="0" w:color="auto"/>
        <w:bottom w:val="none" w:sz="0" w:space="0" w:color="auto"/>
        <w:right w:val="none" w:sz="0" w:space="0" w:color="auto"/>
      </w:divBdr>
    </w:div>
    <w:div w:id="1904678885">
      <w:bodyDiv w:val="1"/>
      <w:marLeft w:val="0"/>
      <w:marRight w:val="0"/>
      <w:marTop w:val="0"/>
      <w:marBottom w:val="0"/>
      <w:divBdr>
        <w:top w:val="none" w:sz="0" w:space="0" w:color="auto"/>
        <w:left w:val="none" w:sz="0" w:space="0" w:color="auto"/>
        <w:bottom w:val="none" w:sz="0" w:space="0" w:color="auto"/>
        <w:right w:val="none" w:sz="0" w:space="0" w:color="auto"/>
      </w:divBdr>
      <w:divsChild>
        <w:div w:id="1849252236">
          <w:marLeft w:val="0"/>
          <w:marRight w:val="0"/>
          <w:marTop w:val="0"/>
          <w:marBottom w:val="360"/>
          <w:divBdr>
            <w:top w:val="single" w:sz="6" w:space="0" w:color="E9E9E7"/>
            <w:left w:val="none" w:sz="0" w:space="0" w:color="auto"/>
            <w:bottom w:val="single" w:sz="6" w:space="0" w:color="E9E9E7"/>
            <w:right w:val="none" w:sz="0" w:space="0" w:color="auto"/>
          </w:divBdr>
        </w:div>
        <w:div w:id="1323924114">
          <w:marLeft w:val="0"/>
          <w:marRight w:val="0"/>
          <w:marTop w:val="0"/>
          <w:marBottom w:val="0"/>
          <w:divBdr>
            <w:top w:val="none" w:sz="0" w:space="0" w:color="auto"/>
            <w:left w:val="none" w:sz="0" w:space="0" w:color="auto"/>
            <w:bottom w:val="none" w:sz="0" w:space="0" w:color="auto"/>
            <w:right w:val="none" w:sz="0" w:space="0" w:color="auto"/>
          </w:divBdr>
          <w:divsChild>
            <w:div w:id="1920406094">
              <w:marLeft w:val="0"/>
              <w:marRight w:val="0"/>
              <w:marTop w:val="0"/>
              <w:marBottom w:val="0"/>
              <w:divBdr>
                <w:top w:val="single" w:sz="48" w:space="0" w:color="FFFFFF"/>
                <w:left w:val="none" w:sz="0" w:space="0" w:color="auto"/>
                <w:bottom w:val="single" w:sz="48" w:space="0" w:color="FFFFFF"/>
                <w:right w:val="none" w:sz="0" w:space="0" w:color="auto"/>
              </w:divBdr>
              <w:divsChild>
                <w:div w:id="1349214598">
                  <w:marLeft w:val="0"/>
                  <w:marRight w:val="0"/>
                  <w:marTop w:val="0"/>
                  <w:marBottom w:val="0"/>
                  <w:divBdr>
                    <w:top w:val="none" w:sz="0" w:space="0" w:color="auto"/>
                    <w:left w:val="none" w:sz="0" w:space="0" w:color="auto"/>
                    <w:bottom w:val="none" w:sz="0" w:space="0" w:color="auto"/>
                    <w:right w:val="none" w:sz="0" w:space="0" w:color="auto"/>
                  </w:divBdr>
                  <w:divsChild>
                    <w:div w:id="1585604009">
                      <w:marLeft w:val="0"/>
                      <w:marRight w:val="0"/>
                      <w:marTop w:val="0"/>
                      <w:marBottom w:val="0"/>
                      <w:divBdr>
                        <w:top w:val="none" w:sz="0" w:space="0" w:color="auto"/>
                        <w:left w:val="none" w:sz="0" w:space="0" w:color="auto"/>
                        <w:bottom w:val="none" w:sz="0" w:space="0" w:color="auto"/>
                        <w:right w:val="none" w:sz="0" w:space="0" w:color="auto"/>
                      </w:divBdr>
                      <w:divsChild>
                        <w:div w:id="779420408">
                          <w:marLeft w:val="0"/>
                          <w:marRight w:val="0"/>
                          <w:marTop w:val="0"/>
                          <w:marBottom w:val="0"/>
                          <w:divBdr>
                            <w:top w:val="none" w:sz="0" w:space="0" w:color="auto"/>
                            <w:left w:val="none" w:sz="0" w:space="0" w:color="auto"/>
                            <w:bottom w:val="none" w:sz="0" w:space="0" w:color="auto"/>
                            <w:right w:val="none" w:sz="0" w:space="0" w:color="auto"/>
                          </w:divBdr>
                          <w:divsChild>
                            <w:div w:id="187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843">
                      <w:marLeft w:val="0"/>
                      <w:marRight w:val="0"/>
                      <w:marTop w:val="0"/>
                      <w:marBottom w:val="0"/>
                      <w:divBdr>
                        <w:top w:val="none" w:sz="0" w:space="0" w:color="auto"/>
                        <w:left w:val="none" w:sz="0" w:space="0" w:color="auto"/>
                        <w:bottom w:val="none" w:sz="0" w:space="0" w:color="auto"/>
                        <w:right w:val="none" w:sz="0" w:space="0" w:color="auto"/>
                      </w:divBdr>
                      <w:divsChild>
                        <w:div w:id="441193599">
                          <w:marLeft w:val="0"/>
                          <w:marRight w:val="0"/>
                          <w:marTop w:val="0"/>
                          <w:marBottom w:val="0"/>
                          <w:divBdr>
                            <w:top w:val="none" w:sz="0" w:space="0" w:color="auto"/>
                            <w:left w:val="none" w:sz="0" w:space="0" w:color="auto"/>
                            <w:bottom w:val="none" w:sz="0" w:space="0" w:color="auto"/>
                            <w:right w:val="none" w:sz="0" w:space="0" w:color="auto"/>
                          </w:divBdr>
                          <w:divsChild>
                            <w:div w:id="380329844">
                              <w:marLeft w:val="0"/>
                              <w:marRight w:val="0"/>
                              <w:marTop w:val="0"/>
                              <w:marBottom w:val="0"/>
                              <w:divBdr>
                                <w:top w:val="none" w:sz="0" w:space="0" w:color="auto"/>
                                <w:left w:val="none" w:sz="0" w:space="0" w:color="auto"/>
                                <w:bottom w:val="none" w:sz="0" w:space="0" w:color="auto"/>
                                <w:right w:val="none" w:sz="0" w:space="0" w:color="auto"/>
                              </w:divBdr>
                              <w:divsChild>
                                <w:div w:id="5705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2293">
                      <w:marLeft w:val="0"/>
                      <w:marRight w:val="0"/>
                      <w:marTop w:val="0"/>
                      <w:marBottom w:val="0"/>
                      <w:divBdr>
                        <w:top w:val="none" w:sz="0" w:space="0" w:color="auto"/>
                        <w:left w:val="none" w:sz="0" w:space="0" w:color="auto"/>
                        <w:bottom w:val="none" w:sz="0" w:space="0" w:color="auto"/>
                        <w:right w:val="none" w:sz="0" w:space="0" w:color="auto"/>
                      </w:divBdr>
                      <w:divsChild>
                        <w:div w:id="606035979">
                          <w:marLeft w:val="0"/>
                          <w:marRight w:val="0"/>
                          <w:marTop w:val="0"/>
                          <w:marBottom w:val="0"/>
                          <w:divBdr>
                            <w:top w:val="none" w:sz="0" w:space="0" w:color="auto"/>
                            <w:left w:val="none" w:sz="0" w:space="0" w:color="auto"/>
                            <w:bottom w:val="none" w:sz="0" w:space="0" w:color="auto"/>
                            <w:right w:val="none" w:sz="0" w:space="0" w:color="auto"/>
                          </w:divBdr>
                          <w:divsChild>
                            <w:div w:id="15750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700">
                      <w:marLeft w:val="0"/>
                      <w:marRight w:val="0"/>
                      <w:marTop w:val="0"/>
                      <w:marBottom w:val="0"/>
                      <w:divBdr>
                        <w:top w:val="none" w:sz="0" w:space="0" w:color="auto"/>
                        <w:left w:val="none" w:sz="0" w:space="0" w:color="auto"/>
                        <w:bottom w:val="none" w:sz="0" w:space="0" w:color="auto"/>
                        <w:right w:val="none" w:sz="0" w:space="0" w:color="auto"/>
                      </w:divBdr>
                      <w:divsChild>
                        <w:div w:id="1814176058">
                          <w:marLeft w:val="0"/>
                          <w:marRight w:val="0"/>
                          <w:marTop w:val="0"/>
                          <w:marBottom w:val="0"/>
                          <w:divBdr>
                            <w:top w:val="none" w:sz="0" w:space="0" w:color="auto"/>
                            <w:left w:val="none" w:sz="0" w:space="0" w:color="auto"/>
                            <w:bottom w:val="none" w:sz="0" w:space="0" w:color="auto"/>
                            <w:right w:val="none" w:sz="0" w:space="0" w:color="auto"/>
                          </w:divBdr>
                          <w:divsChild>
                            <w:div w:id="3578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138346">
      <w:bodyDiv w:val="1"/>
      <w:marLeft w:val="0"/>
      <w:marRight w:val="0"/>
      <w:marTop w:val="0"/>
      <w:marBottom w:val="0"/>
      <w:divBdr>
        <w:top w:val="none" w:sz="0" w:space="0" w:color="auto"/>
        <w:left w:val="none" w:sz="0" w:space="0" w:color="auto"/>
        <w:bottom w:val="none" w:sz="0" w:space="0" w:color="auto"/>
        <w:right w:val="none" w:sz="0" w:space="0" w:color="auto"/>
      </w:divBdr>
      <w:divsChild>
        <w:div w:id="2050718004">
          <w:marLeft w:val="0"/>
          <w:marRight w:val="0"/>
          <w:marTop w:val="0"/>
          <w:marBottom w:val="360"/>
          <w:divBdr>
            <w:top w:val="single" w:sz="6" w:space="0" w:color="E9E9E7"/>
            <w:left w:val="none" w:sz="0" w:space="0" w:color="auto"/>
            <w:bottom w:val="single" w:sz="6" w:space="0" w:color="E9E9E7"/>
            <w:right w:val="none" w:sz="0" w:space="0" w:color="auto"/>
          </w:divBdr>
        </w:div>
        <w:div w:id="351884180">
          <w:marLeft w:val="0"/>
          <w:marRight w:val="0"/>
          <w:marTop w:val="0"/>
          <w:marBottom w:val="0"/>
          <w:divBdr>
            <w:top w:val="none" w:sz="0" w:space="0" w:color="auto"/>
            <w:left w:val="none" w:sz="0" w:space="0" w:color="auto"/>
            <w:bottom w:val="none" w:sz="0" w:space="0" w:color="auto"/>
            <w:right w:val="none" w:sz="0" w:space="0" w:color="auto"/>
          </w:divBdr>
          <w:divsChild>
            <w:div w:id="1751384975">
              <w:marLeft w:val="0"/>
              <w:marRight w:val="0"/>
              <w:marTop w:val="0"/>
              <w:marBottom w:val="0"/>
              <w:divBdr>
                <w:top w:val="single" w:sz="48" w:space="0" w:color="FFFFFF"/>
                <w:left w:val="none" w:sz="0" w:space="0" w:color="auto"/>
                <w:bottom w:val="single" w:sz="48" w:space="0" w:color="FFFFFF"/>
                <w:right w:val="none" w:sz="0" w:space="0" w:color="auto"/>
              </w:divBdr>
              <w:divsChild>
                <w:div w:id="1500342849">
                  <w:marLeft w:val="0"/>
                  <w:marRight w:val="0"/>
                  <w:marTop w:val="0"/>
                  <w:marBottom w:val="0"/>
                  <w:divBdr>
                    <w:top w:val="none" w:sz="0" w:space="0" w:color="auto"/>
                    <w:left w:val="none" w:sz="0" w:space="0" w:color="auto"/>
                    <w:bottom w:val="none" w:sz="0" w:space="0" w:color="auto"/>
                    <w:right w:val="none" w:sz="0" w:space="0" w:color="auto"/>
                  </w:divBdr>
                  <w:divsChild>
                    <w:div w:id="831413467">
                      <w:marLeft w:val="0"/>
                      <w:marRight w:val="0"/>
                      <w:marTop w:val="0"/>
                      <w:marBottom w:val="0"/>
                      <w:divBdr>
                        <w:top w:val="none" w:sz="0" w:space="0" w:color="auto"/>
                        <w:left w:val="none" w:sz="0" w:space="0" w:color="auto"/>
                        <w:bottom w:val="none" w:sz="0" w:space="0" w:color="auto"/>
                        <w:right w:val="none" w:sz="0" w:space="0" w:color="auto"/>
                      </w:divBdr>
                      <w:divsChild>
                        <w:div w:id="911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88462">
      <w:bodyDiv w:val="1"/>
      <w:marLeft w:val="0"/>
      <w:marRight w:val="0"/>
      <w:marTop w:val="0"/>
      <w:marBottom w:val="0"/>
      <w:divBdr>
        <w:top w:val="none" w:sz="0" w:space="0" w:color="auto"/>
        <w:left w:val="none" w:sz="0" w:space="0" w:color="auto"/>
        <w:bottom w:val="none" w:sz="0" w:space="0" w:color="auto"/>
        <w:right w:val="none" w:sz="0" w:space="0" w:color="auto"/>
      </w:divBdr>
    </w:div>
    <w:div w:id="2082756293">
      <w:bodyDiv w:val="1"/>
      <w:marLeft w:val="0"/>
      <w:marRight w:val="0"/>
      <w:marTop w:val="0"/>
      <w:marBottom w:val="0"/>
      <w:divBdr>
        <w:top w:val="none" w:sz="0" w:space="0" w:color="auto"/>
        <w:left w:val="none" w:sz="0" w:space="0" w:color="auto"/>
        <w:bottom w:val="none" w:sz="0" w:space="0" w:color="auto"/>
        <w:right w:val="none" w:sz="0" w:space="0" w:color="auto"/>
      </w:divBdr>
    </w:div>
    <w:div w:id="21466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ducation.gov.uk/post-16-qualifications-review-team/review-of-post-16-qualifications-at-level-2-and-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hs.org.uk/science/pdf/industry-growth-report-ohrg.pdf" TargetMode="External"/><Relationship Id="rId4" Type="http://schemas.openxmlformats.org/officeDocument/2006/relationships/settings" Target="settings.xml"/><Relationship Id="rId9" Type="http://schemas.openxmlformats.org/officeDocument/2006/relationships/hyperlink" Target="https://www.rhs.org.uk/science/pdf/horticulture-skills-report/horticulture-sector-skills-survey-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642BDA-51A3-4684-8763-0E8730FE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8152</Words>
  <Characters>46468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Burnley</dc:creator>
  <cp:keywords/>
  <dc:description/>
  <cp:lastModifiedBy>Plant Network</cp:lastModifiedBy>
  <cp:revision>2</cp:revision>
  <cp:lastPrinted>2022-04-06T16:21:00Z</cp:lastPrinted>
  <dcterms:created xsi:type="dcterms:W3CDTF">2022-04-06T16:26:00Z</dcterms:created>
  <dcterms:modified xsi:type="dcterms:W3CDTF">2022-04-06T16:26:00Z</dcterms:modified>
</cp:coreProperties>
</file>